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FE0C5A" w14:paraId="5DD56AA9" w14:textId="77777777">
        <w:trPr>
          <w:tblCellSpacing w:w="0" w:type="dxa"/>
        </w:trPr>
        <w:tc>
          <w:tcPr>
            <w:tcW w:w="0" w:type="auto"/>
            <w:vAlign w:val="center"/>
            <w:hideMark/>
          </w:tcPr>
          <w:p w14:paraId="789095F2" w14:textId="371599A7" w:rsidR="00FE0C5A" w:rsidRDefault="000C18DB" w:rsidP="00F113BD">
            <w:pPr>
              <w:spacing w:after="0"/>
              <w:divId w:val="1481383056"/>
              <w:rPr>
                <w:rFonts w:ascii="Arial" w:eastAsia="Times New Roman" w:hAnsi="Arial" w:cs="Arial"/>
                <w:kern w:val="0"/>
                <w:sz w:val="20"/>
                <w:szCs w:val="20"/>
                <w14:ligatures w14:val="none"/>
              </w:rPr>
            </w:pPr>
            <w:r>
              <w:rPr>
                <w:noProof/>
              </w:rPr>
              <w:pict w14:anchorId="6D3D8E78">
                <v:rect id="AutoShape 1028" o:spid="_x0000_s2053"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47B9DCC1">
                <v:rect id="Picture 1" o:spid="_x0000_s2052"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p>
        </w:tc>
      </w:tr>
    </w:tbl>
    <w:p w14:paraId="5F69B813" w14:textId="46824B25" w:rsidR="00FE0C5A" w:rsidRDefault="000C18DB">
      <w:pPr>
        <w:pStyle w:val="NormalWeb"/>
        <w:jc w:val="center"/>
      </w:pPr>
      <w:r>
        <w:rPr>
          <w:rFonts w:ascii="Arial" w:hAnsi="Arial" w:cs="Arial"/>
          <w:b/>
          <w:bCs/>
          <w:sz w:val="20"/>
          <w:szCs w:val="20"/>
        </w:rPr>
        <w:t xml:space="preserve">COOPERATIVA DE </w:t>
      </w:r>
      <w:r w:rsidR="0073565A">
        <w:rPr>
          <w:rFonts w:ascii="Arial" w:hAnsi="Arial" w:cs="Arial"/>
          <w:b/>
          <w:bCs/>
          <w:sz w:val="20"/>
          <w:szCs w:val="20"/>
        </w:rPr>
        <w:t>CRÉDITO</w:t>
      </w:r>
      <w:r>
        <w:rPr>
          <w:rFonts w:ascii="Arial" w:hAnsi="Arial" w:cs="Arial"/>
          <w:b/>
          <w:bCs/>
          <w:sz w:val="20"/>
          <w:szCs w:val="20"/>
        </w:rPr>
        <w:t xml:space="preserve"> COPERSUL LTDA - SICOOB COPERSUL</w:t>
      </w:r>
    </w:p>
    <w:p w14:paraId="75C79335" w14:textId="77777777" w:rsidR="00FE0C5A" w:rsidRDefault="000C18DB">
      <w:pPr>
        <w:pStyle w:val="NormalWeb"/>
        <w:jc w:val="center"/>
      </w:pPr>
      <w:r>
        <w:rPr>
          <w:rFonts w:ascii="Arial" w:hAnsi="Arial" w:cs="Arial"/>
          <w:b/>
          <w:bCs/>
          <w:sz w:val="20"/>
          <w:szCs w:val="20"/>
        </w:rPr>
        <w:t>NOTAS EXPLICATIVAS DA ADMINISTRAÇÃO ÀS DEMONSTRAÇÕES FINANCEIRAS PARA O EXERCÍCIO FINDO EM 31 DE DEZEMBRO DE 2023</w:t>
      </w:r>
    </w:p>
    <w:p w14:paraId="04673E16" w14:textId="10C78397" w:rsidR="00FE0C5A" w:rsidRDefault="000C18DB" w:rsidP="0073565A">
      <w:pPr>
        <w:pStyle w:val="NormalWeb"/>
        <w:jc w:val="center"/>
      </w:pPr>
      <w:r>
        <w:rPr>
          <w:rFonts w:ascii="Arial" w:hAnsi="Arial" w:cs="Arial"/>
          <w:b/>
          <w:bCs/>
          <w:sz w:val="20"/>
          <w:szCs w:val="20"/>
        </w:rPr>
        <w:t>Em Reais (R$)</w:t>
      </w:r>
    </w:p>
    <w:p w14:paraId="07C57FC7" w14:textId="77777777" w:rsidR="00FE0C5A" w:rsidRDefault="000C18DB">
      <w:pPr>
        <w:pStyle w:val="NormalWeb"/>
        <w:jc w:val="both"/>
      </w:pPr>
      <w:r>
        <w:rPr>
          <w:rFonts w:ascii="Arial" w:hAnsi="Arial" w:cs="Arial"/>
          <w:b/>
          <w:bCs/>
          <w:sz w:val="20"/>
          <w:szCs w:val="20"/>
        </w:rPr>
        <w:t>1. Contexto Operacional</w:t>
      </w:r>
    </w:p>
    <w:p w14:paraId="3EC3A818" w14:textId="2BEC4CCC" w:rsidR="00FE0C5A" w:rsidRDefault="000C18DB">
      <w:pPr>
        <w:pStyle w:val="NormalWeb"/>
        <w:jc w:val="both"/>
      </w:pPr>
      <w:r>
        <w:rPr>
          <w:rFonts w:ascii="Arial" w:hAnsi="Arial" w:cs="Arial"/>
          <w:sz w:val="20"/>
          <w:szCs w:val="20"/>
        </w:rPr>
        <w:t xml:space="preserve">A </w:t>
      </w:r>
      <w:r>
        <w:rPr>
          <w:rFonts w:ascii="Arial" w:hAnsi="Arial" w:cs="Arial"/>
          <w:b/>
          <w:bCs/>
          <w:sz w:val="20"/>
          <w:szCs w:val="20"/>
        </w:rPr>
        <w:t xml:space="preserve">COOPERATIVA DE </w:t>
      </w:r>
      <w:r w:rsidR="0073565A">
        <w:rPr>
          <w:rFonts w:ascii="Arial" w:hAnsi="Arial" w:cs="Arial"/>
          <w:b/>
          <w:bCs/>
          <w:sz w:val="20"/>
          <w:szCs w:val="20"/>
        </w:rPr>
        <w:t>CRÉDITO</w:t>
      </w:r>
      <w:r>
        <w:rPr>
          <w:rFonts w:ascii="Arial" w:hAnsi="Arial" w:cs="Arial"/>
          <w:b/>
          <w:bCs/>
          <w:sz w:val="20"/>
          <w:szCs w:val="20"/>
        </w:rPr>
        <w:t xml:space="preserve"> COPERSUL LTDA - SICOOB COPERSUL</w:t>
      </w:r>
      <w:r>
        <w:rPr>
          <w:rFonts w:ascii="Arial" w:hAnsi="Arial" w:cs="Arial"/>
          <w:sz w:val="20"/>
          <w:szCs w:val="20"/>
        </w:rPr>
        <w:t xml:space="preserve">, doravante denominado </w:t>
      </w:r>
      <w:r>
        <w:rPr>
          <w:rFonts w:ascii="Arial" w:hAnsi="Arial" w:cs="Arial"/>
          <w:b/>
          <w:bCs/>
          <w:sz w:val="20"/>
          <w:szCs w:val="20"/>
        </w:rPr>
        <w:t>SICOOB COPERSUL</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27/10/1983</w:t>
      </w:r>
      <w:r>
        <w:rPr>
          <w:rFonts w:ascii="Arial" w:hAnsi="Arial" w:cs="Arial"/>
          <w:sz w:val="20"/>
          <w:szCs w:val="20"/>
        </w:rPr>
        <w:t xml:space="preserve">, filiada à </w:t>
      </w:r>
      <w:r>
        <w:rPr>
          <w:rFonts w:ascii="Arial" w:hAnsi="Arial" w:cs="Arial"/>
          <w:b/>
          <w:bCs/>
          <w:sz w:val="20"/>
          <w:szCs w:val="20"/>
        </w:rPr>
        <w:t xml:space="preserve">COOPERATIVA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em conjunto com outras Cooperativas Singulares e Centrais. Tem sua constituição e o funcionamento regulamentados pela Lei nº 4.595/1964, que dis</w:t>
      </w:r>
      <w:r>
        <w:rPr>
          <w:rFonts w:ascii="Arial" w:hAnsi="Arial" w:cs="Arial"/>
          <w:sz w:val="20"/>
          <w:szCs w:val="20"/>
        </w:rPr>
        <w:t xml:space="preserve">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pelas Leis Complementares nº 130/2009 e 196/2022 , que dispõe sobre o </w:t>
      </w:r>
      <w:r>
        <w:rPr>
          <w:rFonts w:ascii="Arial" w:hAnsi="Arial" w:cs="Arial"/>
          <w:i/>
          <w:iCs/>
          <w:sz w:val="20"/>
          <w:szCs w:val="20"/>
        </w:rPr>
        <w:t>Sistema Nacional de Crédito Cooperativo</w:t>
      </w:r>
      <w:r>
        <w:rPr>
          <w:rFonts w:ascii="Arial" w:hAnsi="Arial" w:cs="Arial"/>
          <w:sz w:val="20"/>
          <w:szCs w:val="20"/>
        </w:rPr>
        <w:t>; pela Resolução CMN nº 4.434/2015 e 5.051/2022, que dispõe sobre a constituição e funcionamento de Cooperativas de Crédito; e pela Resolução CMN n° 4.970/2021, que dispõe sobre os processos de au</w:t>
      </w:r>
      <w:r>
        <w:rPr>
          <w:rFonts w:ascii="Arial" w:hAnsi="Arial" w:cs="Arial"/>
          <w:sz w:val="20"/>
          <w:szCs w:val="20"/>
        </w:rPr>
        <w:t>torização de funcionamento das instituições que especifica.</w:t>
      </w:r>
    </w:p>
    <w:p w14:paraId="748EC788" w14:textId="24062B80" w:rsidR="00FE0C5A" w:rsidRDefault="000C18DB">
      <w:pPr>
        <w:pStyle w:val="NormalWeb"/>
        <w:jc w:val="both"/>
      </w:pPr>
      <w:r w:rsidRPr="00785EE1">
        <w:rPr>
          <w:rFonts w:ascii="Arial" w:hAnsi="Arial" w:cs="Arial"/>
          <w:sz w:val="20"/>
          <w:szCs w:val="20"/>
        </w:rPr>
        <w:t xml:space="preserve">O SICOOB COPERSUL, sediado à </w:t>
      </w:r>
      <w:r w:rsidRPr="00785EE1">
        <w:rPr>
          <w:rFonts w:ascii="Arial" w:hAnsi="Arial" w:cs="Arial"/>
          <w:b/>
          <w:bCs/>
          <w:sz w:val="20"/>
          <w:szCs w:val="20"/>
        </w:rPr>
        <w:t>RUA AMÉRICO MIARI, N° 36, CENTRO, TRÊS PONTAS - MG</w:t>
      </w:r>
      <w:r w:rsidRPr="00785EE1">
        <w:rPr>
          <w:rFonts w:ascii="Arial" w:hAnsi="Arial" w:cs="Arial"/>
          <w:sz w:val="20"/>
          <w:szCs w:val="20"/>
        </w:rPr>
        <w:t xml:space="preserve">, possui: </w:t>
      </w:r>
      <w:r w:rsidR="00785EE1" w:rsidRPr="00785EE1">
        <w:rPr>
          <w:rFonts w:ascii="Arial" w:hAnsi="Arial" w:cs="Arial"/>
          <w:sz w:val="20"/>
          <w:szCs w:val="20"/>
        </w:rPr>
        <w:t>6</w:t>
      </w:r>
      <w:r w:rsidRPr="00785EE1">
        <w:rPr>
          <w:rFonts w:ascii="Arial" w:hAnsi="Arial" w:cs="Arial"/>
          <w:sz w:val="20"/>
          <w:szCs w:val="20"/>
        </w:rPr>
        <w:t xml:space="preserve"> Postos de Atendimento (PAs), nas seguintes localidades: SANTANA DA VARGEM - MG, COQUEIRAL - MG, </w:t>
      </w:r>
      <w:r w:rsidRPr="00785EE1">
        <w:rPr>
          <w:rFonts w:ascii="Arial" w:hAnsi="Arial" w:cs="Arial"/>
          <w:sz w:val="20"/>
          <w:szCs w:val="20"/>
        </w:rPr>
        <w:t>NEPOMUCENO - MG, TRÊS PONTAS - MG, e 1 Posto de Atendimento Digital.</w:t>
      </w:r>
    </w:p>
    <w:p w14:paraId="24899DA0" w14:textId="77777777" w:rsidR="00FE0C5A" w:rsidRDefault="000C18DB">
      <w:pPr>
        <w:pStyle w:val="NormalWeb"/>
        <w:jc w:val="both"/>
      </w:pPr>
      <w:r>
        <w:rPr>
          <w:rFonts w:ascii="Arial" w:hAnsi="Arial" w:cs="Arial"/>
          <w:sz w:val="20"/>
          <w:szCs w:val="20"/>
        </w:rPr>
        <w:t>O SICOOB COPERSUL tem como atividade preponderante a operação na área creditícia e como finalidades:</w:t>
      </w:r>
    </w:p>
    <w:p w14:paraId="4E70C849" w14:textId="77777777" w:rsidR="00FE0C5A" w:rsidRDefault="000C18DB">
      <w:pPr>
        <w:pStyle w:val="NormalWeb"/>
        <w:jc w:val="both"/>
      </w:pPr>
      <w:r>
        <w:rPr>
          <w:rFonts w:ascii="Arial" w:hAnsi="Arial" w:cs="Arial"/>
          <w:sz w:val="20"/>
          <w:szCs w:val="20"/>
        </w:rPr>
        <w:t>(i) Proporcionar, por meio da mutualidade, assistência financeira aos associados;</w:t>
      </w:r>
    </w:p>
    <w:p w14:paraId="57C06518" w14:textId="77777777" w:rsidR="00FE0C5A" w:rsidRDefault="000C18DB">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0AF33BFD" w14:textId="77777777" w:rsidR="00FE0C5A" w:rsidRDefault="000C18DB">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765521BC" w14:textId="77777777" w:rsidR="00FE0C5A" w:rsidRDefault="000C18DB">
      <w:pPr>
        <w:pStyle w:val="NormalWeb"/>
        <w:jc w:val="both"/>
      </w:pPr>
      <w:r>
        <w:rPr>
          <w:rFonts w:ascii="Arial" w:hAnsi="Arial" w:cs="Arial"/>
          <w:b/>
          <w:bCs/>
          <w:sz w:val="20"/>
          <w:szCs w:val="20"/>
        </w:rPr>
        <w:t>2. Apresentação das Demonstrações Financeiras</w:t>
      </w:r>
    </w:p>
    <w:p w14:paraId="3AFC17E4" w14:textId="77777777" w:rsidR="00FE0C5A" w:rsidRDefault="000C18DB">
      <w:pPr>
        <w:pStyle w:val="NormalWeb"/>
        <w:jc w:val="both"/>
      </w:pPr>
      <w:r>
        <w:rPr>
          <w:rFonts w:ascii="Arial" w:hAnsi="Arial" w:cs="Arial"/>
          <w:sz w:val="20"/>
          <w:szCs w:val="20"/>
        </w:rPr>
        <w:t xml:space="preserve">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Normas Brasileiras de Contabilidade (especificamente aquelas aplicáveis às entidades Cooperativas); as orientações concedidas </w:t>
      </w:r>
      <w:r>
        <w:rPr>
          <w:rFonts w:ascii="Arial" w:hAnsi="Arial" w:cs="Arial"/>
          <w:sz w:val="20"/>
          <w:szCs w:val="20"/>
        </w:rPr>
        <w:t>pela Lei do Cooperativismo nº 5.764/1971 e pelas Leis Complementares nº 130/2009 e 196/2022; e normas emanadas pelo BCB e Conselho Monetário Nacional – CMN, consolidadas no Plano Contábil das Instituições do Sistema Financeiro Nacional – COSIF, consonante à Resolução CMN nº 4.818/2020, Resolução BCB nº 2/2020 e Resolução CMN nº 4.924/2021.</w:t>
      </w:r>
    </w:p>
    <w:p w14:paraId="742D6390" w14:textId="77777777" w:rsidR="00FE0C5A" w:rsidRDefault="000C18DB">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 CPC, as quais são aplicáveis às instituições financeiras somente quando aprovadas pelo BCB, naquilo que não confrontar com as normas por ele emitidas anteriormente, conforme CPC 00 (R2), 01 (R1), 03 (R2), 05 (R1), 10 (R1), 23, 24, 25, 28, 33 (R1), 41, 46 e 47. Os pronunciamentos contábeis já aprovados pelo BCB foram empregados integral</w:t>
      </w:r>
      <w:r>
        <w:rPr>
          <w:rFonts w:ascii="Arial" w:hAnsi="Arial" w:cs="Arial"/>
          <w:sz w:val="20"/>
          <w:szCs w:val="20"/>
        </w:rPr>
        <w:t>mente na elaboração destas demonstrações financeiras, quando aplicáveis à esta cooperativa.</w:t>
      </w:r>
    </w:p>
    <w:p w14:paraId="0C516E12" w14:textId="1018E0A1" w:rsidR="00FE0C5A" w:rsidRDefault="000C18DB">
      <w:pPr>
        <w:pStyle w:val="NormalWeb"/>
        <w:jc w:val="both"/>
      </w:pPr>
      <w:r>
        <w:rPr>
          <w:rFonts w:ascii="Arial" w:hAnsi="Arial" w:cs="Arial"/>
          <w:sz w:val="20"/>
          <w:szCs w:val="20"/>
        </w:rPr>
        <w:lastRenderedPageBreak/>
        <w:t>As demonstrações financeiras, incluindo as notas explicativas, são de responsabilidade da Administração da Cooperativa, e sua aprovação foi concedida em 22/03/2024.</w:t>
      </w:r>
    </w:p>
    <w:p w14:paraId="2AF86B9A" w14:textId="77777777" w:rsidR="00FE0C5A" w:rsidRDefault="000C18DB">
      <w:pPr>
        <w:pStyle w:val="NormalWeb"/>
        <w:jc w:val="both"/>
      </w:pPr>
      <w:r>
        <w:rPr>
          <w:rFonts w:ascii="Arial" w:hAnsi="Arial" w:cs="Arial"/>
          <w:b/>
          <w:bCs/>
          <w:sz w:val="20"/>
          <w:szCs w:val="20"/>
        </w:rPr>
        <w:t>2.1 Mudanças nas Políticas Contábeis e Divulgação</w:t>
      </w:r>
    </w:p>
    <w:p w14:paraId="1744BC3A" w14:textId="77777777" w:rsidR="00FE0C5A" w:rsidRDefault="000C18DB">
      <w:pPr>
        <w:pStyle w:val="NormalWeb"/>
        <w:jc w:val="both"/>
      </w:pPr>
      <w:r>
        <w:rPr>
          <w:rFonts w:ascii="Arial" w:hAnsi="Arial" w:cs="Arial"/>
          <w:b/>
          <w:bCs/>
          <w:sz w:val="20"/>
          <w:szCs w:val="20"/>
        </w:rPr>
        <w:t xml:space="preserve">a) Mudanças em vigor </w:t>
      </w:r>
    </w:p>
    <w:p w14:paraId="42F5C946" w14:textId="77777777" w:rsidR="00FE0C5A" w:rsidRDefault="000C18DB">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2023:</w:t>
      </w:r>
    </w:p>
    <w:p w14:paraId="6A3751DA" w14:textId="77777777" w:rsidR="00FE0C5A" w:rsidRDefault="000C18DB">
      <w:pPr>
        <w:pStyle w:val="NormalWeb"/>
        <w:jc w:val="both"/>
      </w:pPr>
      <w:r>
        <w:rPr>
          <w:rFonts w:ascii="Arial" w:hAnsi="Arial" w:cs="Arial"/>
          <w:b/>
          <w:bCs/>
          <w:sz w:val="20"/>
          <w:szCs w:val="20"/>
        </w:rPr>
        <w:t>Resolução BCB nº 208, de 22 de março de 2022:</w:t>
      </w:r>
      <w:r>
        <w:rPr>
          <w:rFonts w:ascii="Arial" w:hAnsi="Arial" w:cs="Arial"/>
          <w:sz w:val="20"/>
          <w:szCs w:val="20"/>
        </w:rPr>
        <w:t xml:space="preserve"> a norma trata da remessa diária de informações ao Banco Central do Brasil referentes a poupança, volume financeiro das transações de pagamento realizadas no dia, Certificados de Depósito Bancário (CDBs), Recibos de Depósito Bancário (RDBs) e depósitos de aviso prévio de emissão própria e saldos contábeis de natureza ativa e passiva, tais como disponibilidades, depósitos, recursos disponíveis de clientes, entre outros.</w:t>
      </w:r>
    </w:p>
    <w:p w14:paraId="674C06B6" w14:textId="77777777" w:rsidR="00FE0C5A" w:rsidRDefault="000C18DB">
      <w:pPr>
        <w:pStyle w:val="NormalWeb"/>
        <w:jc w:val="both"/>
      </w:pPr>
      <w:r>
        <w:rPr>
          <w:rFonts w:ascii="Arial" w:hAnsi="Arial" w:cs="Arial"/>
          <w:sz w:val="20"/>
          <w:szCs w:val="20"/>
        </w:rPr>
        <w:t xml:space="preserve">Em complemento, a </w:t>
      </w:r>
      <w:r>
        <w:rPr>
          <w:rFonts w:ascii="Arial" w:hAnsi="Arial" w:cs="Arial"/>
          <w:b/>
          <w:bCs/>
          <w:sz w:val="20"/>
          <w:szCs w:val="20"/>
        </w:rPr>
        <w:t>Instrução Normativa BCB nº 319, de 4 de novembro de 2022:</w:t>
      </w:r>
      <w:r>
        <w:rPr>
          <w:rFonts w:ascii="Arial" w:hAnsi="Arial" w:cs="Arial"/>
          <w:sz w:val="20"/>
          <w:szCs w:val="20"/>
        </w:rPr>
        <w:t xml:space="preserve"> a norma revogou a Carta Circular nº 3.429 de 11/2/2010, excluindo a possibilidade de reconhecer no passivo as obrigações tributárias objeto de discussão judicial, para as quais não exista probabilidade de perda. O impacto resumiu-se na análise sistemática das provisões passivas constituídas, referentes a processos judiciais em andamento.</w:t>
      </w:r>
    </w:p>
    <w:p w14:paraId="6AAA713F" w14:textId="77777777" w:rsidR="00FE0C5A" w:rsidRDefault="000C18DB">
      <w:pPr>
        <w:pStyle w:val="NormalWeb"/>
        <w:jc w:val="both"/>
      </w:pPr>
      <w:r>
        <w:rPr>
          <w:rFonts w:ascii="Arial" w:hAnsi="Arial" w:cs="Arial"/>
          <w:b/>
          <w:bCs/>
          <w:sz w:val="20"/>
          <w:szCs w:val="20"/>
        </w:rPr>
        <w:t>b) Mudanças a serem aplicadas em períodos futuros</w:t>
      </w:r>
    </w:p>
    <w:p w14:paraId="27C764C4" w14:textId="77777777" w:rsidR="00FE0C5A" w:rsidRDefault="000C18DB">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277175BE" w14:textId="77777777" w:rsidR="00FE0C5A" w:rsidRDefault="000C18DB">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Cosif em relação aos padrões internacionais.</w:t>
      </w:r>
    </w:p>
    <w:p w14:paraId="46BEB8E3" w14:textId="77777777" w:rsidR="00FE0C5A" w:rsidRDefault="000C18DB">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1DC7C584" w14:textId="77777777" w:rsidR="00FE0C5A" w:rsidRDefault="000C18DB">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as perdas incorridas no recebimento de créditos decorrentes de atividades relativas a operações em inadimplência e operações com pessoa jurídica em processo de falência ou em recuper</w:t>
      </w:r>
      <w:r>
        <w:rPr>
          <w:rFonts w:ascii="Arial" w:hAnsi="Arial" w:cs="Arial"/>
          <w:sz w:val="20"/>
          <w:szCs w:val="20"/>
        </w:rPr>
        <w:t>ação judicial.</w:t>
      </w:r>
    </w:p>
    <w:p w14:paraId="13F125C2" w14:textId="77777777" w:rsidR="00FE0C5A" w:rsidRDefault="000C18DB">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25423DEC" w14:textId="77777777" w:rsidR="00FE0C5A" w:rsidRDefault="000C18DB">
      <w:pPr>
        <w:pStyle w:val="NormalWeb"/>
        <w:jc w:val="both"/>
      </w:pPr>
      <w:r>
        <w:rPr>
          <w:rFonts w:ascii="Arial" w:hAnsi="Arial" w:cs="Arial"/>
          <w:sz w:val="20"/>
          <w:szCs w:val="20"/>
        </w:rPr>
        <w:t>Reformulação do Plano Contábil das Instituições do Sistema Financeiro Nacional – COSIF: em consonância à reforma futura trazida pela Resolução CMN nº 4.966/2021, o Banco Central do Brasil definiu a reestruturação completa do elenco de contas do Cosif, estabelecendo a nova estrutura dos grupos e subgrupos de contas, bem como limitando os níveis de agregação do elenco de contas. Os pontos mencionados foram publicados pelo órgão nos seguintes normativos:</w:t>
      </w:r>
    </w:p>
    <w:p w14:paraId="794E5448" w14:textId="77777777" w:rsidR="00FE0C5A" w:rsidRDefault="000C18DB">
      <w:pPr>
        <w:pStyle w:val="NormalWeb"/>
        <w:jc w:val="both"/>
      </w:pPr>
      <w:r>
        <w:rPr>
          <w:rFonts w:ascii="Arial" w:hAnsi="Arial" w:cs="Arial"/>
          <w:b/>
          <w:bCs/>
          <w:sz w:val="20"/>
          <w:szCs w:val="20"/>
        </w:rPr>
        <w:t xml:space="preserve">i) Resolução BCB nº 255, de 1 de novembro de 2022: </w:t>
      </w:r>
      <w:r>
        <w:rPr>
          <w:rFonts w:ascii="Arial" w:hAnsi="Arial" w:cs="Arial"/>
          <w:sz w:val="20"/>
          <w:szCs w:val="20"/>
        </w:rPr>
        <w:t>trata da estrutura do elenco de contas do Cosif;</w:t>
      </w:r>
    </w:p>
    <w:p w14:paraId="4D044E48" w14:textId="77777777" w:rsidR="00FE0C5A" w:rsidRDefault="000C18DB">
      <w:pPr>
        <w:pStyle w:val="NormalWeb"/>
        <w:jc w:val="both"/>
      </w:pPr>
      <w:r>
        <w:rPr>
          <w:rFonts w:ascii="Arial" w:hAnsi="Arial" w:cs="Arial"/>
          <w:b/>
          <w:bCs/>
          <w:sz w:val="20"/>
          <w:szCs w:val="20"/>
        </w:rPr>
        <w:lastRenderedPageBreak/>
        <w:t>ii) Instrução Normativa BCB nº 318, de 4 de novembro de 2022:</w:t>
      </w:r>
      <w:r>
        <w:rPr>
          <w:rFonts w:ascii="Arial" w:hAnsi="Arial" w:cs="Arial"/>
          <w:sz w:val="20"/>
          <w:szCs w:val="20"/>
        </w:rPr>
        <w:t xml:space="preserve"> define os subgrupos contábeis do elenco de contas do Cosif; e</w:t>
      </w:r>
    </w:p>
    <w:p w14:paraId="393C1160" w14:textId="77777777" w:rsidR="00FE0C5A" w:rsidRDefault="000C18DB">
      <w:pPr>
        <w:pStyle w:val="NormalWeb"/>
        <w:jc w:val="both"/>
      </w:pPr>
      <w:r>
        <w:rPr>
          <w:rFonts w:ascii="Arial" w:hAnsi="Arial" w:cs="Arial"/>
          <w:b/>
          <w:bCs/>
          <w:sz w:val="20"/>
          <w:szCs w:val="20"/>
        </w:rPr>
        <w:t xml:space="preserve">iii) Resolução BCB nº 320, de 31 de maio de 2023: </w:t>
      </w:r>
      <w:r>
        <w:rPr>
          <w:rFonts w:ascii="Arial" w:hAnsi="Arial" w:cs="Arial"/>
          <w:sz w:val="20"/>
          <w:szCs w:val="20"/>
        </w:rPr>
        <w:t>define o limite de níveis de agregação do elenco de contas do Cosif.;</w:t>
      </w:r>
    </w:p>
    <w:p w14:paraId="507354F5" w14:textId="77777777" w:rsidR="00FE0C5A" w:rsidRDefault="000C18DB">
      <w:pPr>
        <w:pStyle w:val="NormalWeb"/>
        <w:jc w:val="both"/>
      </w:pPr>
      <w:r>
        <w:rPr>
          <w:rFonts w:ascii="Arial" w:hAnsi="Arial" w:cs="Arial"/>
          <w:b/>
          <w:bCs/>
          <w:sz w:val="20"/>
          <w:szCs w:val="20"/>
        </w:rPr>
        <w:t>iv) Instrução Normativa BCB n° 426 de 1/12/2023:</w:t>
      </w:r>
      <w:r>
        <w:rPr>
          <w:rFonts w:ascii="Arial" w:hAnsi="Arial" w:cs="Arial"/>
          <w:sz w:val="20"/>
          <w:szCs w:val="20"/>
        </w:rPr>
        <w:t xml:space="preserve"> define as rubricas contábeis do grupo Ativo Realizável do elenco de contas do Padrão Contábil das Instituições Reguladas pelo Banco Central do Brasil (Cosif).</w:t>
      </w:r>
    </w:p>
    <w:p w14:paraId="738F26F9" w14:textId="77777777" w:rsidR="00FE0C5A" w:rsidRDefault="000C18DB">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55D714D8" w14:textId="77777777" w:rsidR="00FE0C5A" w:rsidRDefault="000C18DB">
      <w:pPr>
        <w:pStyle w:val="NormalWeb"/>
        <w:jc w:val="both"/>
      </w:pPr>
      <w:r>
        <w:rPr>
          <w:rFonts w:ascii="Arial" w:hAnsi="Arial" w:cs="Arial"/>
          <w:b/>
          <w:bCs/>
          <w:sz w:val="20"/>
          <w:szCs w:val="20"/>
        </w:rPr>
        <w:t>A Resolução BCB n° 352/23,</w:t>
      </w:r>
      <w:r>
        <w:rPr>
          <w:rFonts w:ascii="Arial" w:hAnsi="Arial" w:cs="Arial"/>
          <w:sz w:val="20"/>
          <w:szCs w:val="20"/>
        </w:rPr>
        <w:t xml:space="preserve"> revogou os requisitos estabelecidos pela Resolução BCB nº 309, de 28 de março de 2023, estabelecendo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37477C02" w14:textId="77777777" w:rsidR="00FE0C5A" w:rsidRDefault="000C18DB">
      <w:pPr>
        <w:pStyle w:val="NormalWeb"/>
        <w:jc w:val="both"/>
      </w:pPr>
      <w:r>
        <w:rPr>
          <w:rFonts w:ascii="Arial" w:hAnsi="Arial" w:cs="Arial"/>
          <w:sz w:val="20"/>
          <w:szCs w:val="20"/>
        </w:rPr>
        <w:t>A avaliação dos impactos nos sistemas operacionais está em andamento com desenvolvimentos sistêmicos, cuja análise está em paralelo aos requisitos estabelecidos pela Resolução CMN nº 4.966 de 25/11/2021. Este normativo entra em vigor em 1º de janeiro de 2025.</w:t>
      </w:r>
    </w:p>
    <w:p w14:paraId="4C6D34E3" w14:textId="77777777" w:rsidR="00FE0C5A" w:rsidRDefault="000C18DB">
      <w:pPr>
        <w:pStyle w:val="NormalWeb"/>
        <w:jc w:val="both"/>
      </w:pPr>
      <w:r>
        <w:rPr>
          <w:rFonts w:ascii="Arial" w:hAnsi="Arial" w:cs="Arial"/>
          <w:b/>
          <w:bCs/>
          <w:sz w:val="20"/>
          <w:szCs w:val="20"/>
        </w:rPr>
        <w:t>A seguir o resumo dos Planos de Implementação das entidades integrantes do Sicoob impactadas pela norma:</w:t>
      </w:r>
    </w:p>
    <w:p w14:paraId="1492D257"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 xml:space="preserve">Fase 1 - Avaliação (2022): </w:t>
      </w:r>
      <w:r>
        <w:rPr>
          <w:rFonts w:ascii="Arial" w:hAnsi="Arial" w:cs="Arial"/>
          <w:sz w:val="20"/>
          <w:szCs w:val="20"/>
        </w:rPr>
        <w:t xml:space="preserve">Englobou atividades de diagnóstico para entendimento das </w:t>
      </w:r>
      <w:r>
        <w:rPr>
          <w:rFonts w:ascii="Arial" w:hAnsi="Arial" w:cs="Arial"/>
          <w:sz w:val="20"/>
          <w:szCs w:val="20"/>
        </w:rPr>
        <w:t>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5F9C2055"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039136B9"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74ED0283"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43865B58"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146B0D46"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 xml:space="preserve">Fase 6 – Adoção inicial (1º. de janeiro de 2025): </w:t>
      </w:r>
      <w:r>
        <w:rPr>
          <w:rFonts w:ascii="Arial" w:hAnsi="Arial" w:cs="Arial"/>
          <w:sz w:val="20"/>
          <w:szCs w:val="20"/>
        </w:rPr>
        <w:t>Adoção efetiva da Resolução CMN 4.966/2021.</w:t>
      </w:r>
    </w:p>
    <w:p w14:paraId="69E8E2C9" w14:textId="77777777" w:rsidR="00FE0C5A" w:rsidRDefault="000C18DB">
      <w:pPr>
        <w:pStyle w:val="NormalWeb"/>
        <w:jc w:val="both"/>
      </w:pPr>
      <w:r>
        <w:rPr>
          <w:rFonts w:ascii="Arial" w:hAnsi="Arial" w:cs="Arial"/>
          <w:sz w:val="20"/>
          <w:szCs w:val="20"/>
        </w:rPr>
        <w:t>Durante a execução da Fase 1, dos planos de implantação, foram mapeados os seguintes principais impactos que foram considerados na definição das atividades que serão executadas nas demais fases da implantação:</w:t>
      </w:r>
    </w:p>
    <w:p w14:paraId="2651273E"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 xml:space="preserve">Requerimentos de classificação: </w:t>
      </w:r>
      <w:r>
        <w:rPr>
          <w:rFonts w:ascii="Arial" w:hAnsi="Arial" w:cs="Arial"/>
          <w:sz w:val="20"/>
          <w:szCs w:val="20"/>
        </w:rPr>
        <w:t xml:space="preserve">determinação da classificação dos ativos financeiros nas categorias Custo Amortizado, Valor Justo em Outros Resultados Abrangentes (VJORA) e Valor Justo no Resultado (VJR), </w:t>
      </w:r>
      <w:r>
        <w:rPr>
          <w:rFonts w:ascii="Arial" w:hAnsi="Arial" w:cs="Arial"/>
          <w:sz w:val="20"/>
          <w:szCs w:val="20"/>
        </w:rPr>
        <w:lastRenderedPageBreak/>
        <w:t>considerando o modelo de negócios utilizado no gerenciamento dos ativos financeiros e as características de seus fluxos de caixa contratuais (teste de SPPJ).</w:t>
      </w:r>
    </w:p>
    <w:p w14:paraId="125B306C"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Requerimentos de reconhecimento e mensuração iniciais:</w:t>
      </w:r>
      <w:r>
        <w:rPr>
          <w:rFonts w:ascii="Arial" w:hAnsi="Arial" w:cs="Arial"/>
          <w:sz w:val="20"/>
          <w:szCs w:val="20"/>
        </w:rPr>
        <w:t xml:space="preserve"> reconhecimento dos instrumentos financeiros líquidos de custos e receitas de originação.</w:t>
      </w:r>
    </w:p>
    <w:p w14:paraId="4F5D49DE"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 xml:space="preserve">Mensuração subsequente: </w:t>
      </w:r>
      <w:r>
        <w:rPr>
          <w:rFonts w:ascii="Arial" w:hAnsi="Arial" w:cs="Arial"/>
          <w:sz w:val="20"/>
          <w:szCs w:val="20"/>
        </w:rPr>
        <w:t>novas formas de mensuração dos instrumentos financeiros após o reconhecimento inicial, considerando a apropriação de juros pela taxa efetiva de juros, a suspensão de apropriação de juros de ativos financeiros com problema de recuperação de crédito e a nova metodologia de mensuração de operações renegociadas e reestruturadas.</w:t>
      </w:r>
    </w:p>
    <w:p w14:paraId="48E7B10D"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Reconhecimento e mensuração do produto câmbio:</w:t>
      </w:r>
      <w:r>
        <w:rPr>
          <w:rFonts w:ascii="Arial" w:hAnsi="Arial" w:cs="Arial"/>
          <w:sz w:val="20"/>
          <w:szCs w:val="20"/>
        </w:rPr>
        <w:t xml:space="preserve"> deixará de ser tratado com contabilidade apartada e com eventos específicos e passará a ser tratado como um instrumento financeiro passível de avaliação do modelo de negócio e características de fluxo de caixa, mensuração subsequente conforme a classificação em que for inserido.</w:t>
      </w:r>
    </w:p>
    <w:p w14:paraId="7B800CAC"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Perdas esperadas:</w:t>
      </w:r>
      <w:r>
        <w:rPr>
          <w:rFonts w:ascii="Arial" w:hAnsi="Arial" w:cs="Arial"/>
          <w:sz w:val="20"/>
          <w:szCs w:val="20"/>
        </w:rPr>
        <w:t xml:space="preserve"> a mensuração das perdas esperadas de crédito requer o uso de modelos complexos e pressupostos sobre condições econômicas futuras e comportamento do crédito. O desenvolvimento destes cálculos traz um impacto significativo, considerando a necessidade de levantamento de bases históricas consistentes, organização dos dados e clusterização da carteira, desenvolvimento de modelos estatísticos de perdas esperadas e implantação dos códigos de modelagem em ambiente produtivo, além de todas as mudan</w:t>
      </w:r>
      <w:r>
        <w:rPr>
          <w:rFonts w:ascii="Arial" w:hAnsi="Arial" w:cs="Arial"/>
          <w:sz w:val="20"/>
          <w:szCs w:val="20"/>
        </w:rPr>
        <w:t>ças necessárias nos reportes regulatórios.</w:t>
      </w:r>
    </w:p>
    <w:p w14:paraId="7A73113A" w14:textId="77777777" w:rsidR="00FE0C5A" w:rsidRDefault="000C18DB">
      <w:pPr>
        <w:pStyle w:val="NormalWeb"/>
        <w:jc w:val="both"/>
      </w:pPr>
      <w:r>
        <w:rPr>
          <w:rFonts w:ascii="Arial" w:hAnsi="Arial" w:cs="Arial"/>
          <w:sz w:val="20"/>
          <w:szCs w:val="20"/>
        </w:rPr>
        <w:t xml:space="preserve">• </w:t>
      </w:r>
      <w:r>
        <w:rPr>
          <w:rFonts w:ascii="Arial" w:hAnsi="Arial" w:cs="Arial"/>
          <w:b/>
          <w:bCs/>
          <w:sz w:val="20"/>
          <w:szCs w:val="20"/>
        </w:rPr>
        <w:t>Disposições transitórias:</w:t>
      </w:r>
      <w:r>
        <w:rPr>
          <w:rFonts w:ascii="Arial" w:hAnsi="Arial" w:cs="Arial"/>
          <w:sz w:val="20"/>
          <w:szCs w:val="20"/>
        </w:rPr>
        <w:t xml:space="preserve"> serão realizados estudos e discussões para definir a estratégia de transição, incluindo o estabelecimento do processo de recálculo dos saldos de 31/12/2024, conforme os critérios da Resolução CMN 4966/2021 e da Resolução 352/2023, que permitam a realização de ajuste de partida da implantação da nova regra em 1º/1/2025.</w:t>
      </w:r>
    </w:p>
    <w:p w14:paraId="2B68C9E5" w14:textId="77777777" w:rsidR="00FE0C5A" w:rsidRDefault="000C18DB">
      <w:pPr>
        <w:pStyle w:val="NormalWeb"/>
        <w:jc w:val="both"/>
      </w:pPr>
      <w:r>
        <w:rPr>
          <w:rFonts w:ascii="Arial" w:hAnsi="Arial" w:cs="Arial"/>
          <w:sz w:val="20"/>
          <w:szCs w:val="20"/>
        </w:rPr>
        <w:t>Durante a execução da Fase 2 - Desenho (2023): foram discutidos os cenários de soluções e arquitetura sistêmica com mudanças em processos de integrações, estando em andamento a revisão final das especificações para alterações dentro dos sistemas legados e construções de motores para cálculos.</w:t>
      </w:r>
    </w:p>
    <w:p w14:paraId="6E16185A" w14:textId="77777777" w:rsidR="00FE0C5A" w:rsidRDefault="000C18DB">
      <w:pPr>
        <w:pStyle w:val="NormalWeb"/>
        <w:jc w:val="both"/>
      </w:pPr>
      <w:r>
        <w:rPr>
          <w:rFonts w:ascii="Arial" w:hAnsi="Arial" w:cs="Arial"/>
          <w:sz w:val="20"/>
          <w:szCs w:val="20"/>
        </w:rPr>
        <w:t xml:space="preserve">Em complemento, a </w:t>
      </w:r>
      <w:r>
        <w:rPr>
          <w:rFonts w:ascii="Arial" w:hAnsi="Arial" w:cs="Arial"/>
          <w:b/>
          <w:bCs/>
          <w:sz w:val="20"/>
          <w:szCs w:val="20"/>
        </w:rPr>
        <w:t xml:space="preserve">Resolução CMN nº 5.101, de 24 de agosto de 2023, </w:t>
      </w:r>
      <w:r>
        <w:rPr>
          <w:rFonts w:ascii="Arial" w:hAnsi="Arial" w:cs="Arial"/>
          <w:sz w:val="20"/>
          <w:szCs w:val="20"/>
        </w:rPr>
        <w:t xml:space="preserve">altera a Resolução CMN nº 4.975, de 16 de dezembro de 2021, que dispõe sobre os critérios contábeis aplicáveis às operações de arrendamento mercantil pelas instituições financeiras e demais instituições autorizadas a funcionar pelo Banco Central do Brasil. De acordo com CPC 06 (R2) estabelece os princípios para o reconhecimento, mensuração, apresentação e divulgação de arrendamentos. O objetivo é garantir que arrendatários e arrendadores forneçam informações </w:t>
      </w:r>
      <w:r>
        <w:rPr>
          <w:rFonts w:ascii="Arial" w:hAnsi="Arial" w:cs="Arial"/>
          <w:sz w:val="20"/>
          <w:szCs w:val="20"/>
        </w:rPr>
        <w:t>relevantes, de modo que representem fielmente essas transações. Esta Resolução entra em vigor em 1º de janeiro de 2025.</w:t>
      </w:r>
    </w:p>
    <w:p w14:paraId="60B11D72" w14:textId="77777777" w:rsidR="00FE0C5A" w:rsidRDefault="000C18DB">
      <w:pPr>
        <w:pStyle w:val="NormalWeb"/>
        <w:jc w:val="both"/>
      </w:pPr>
      <w:r>
        <w:rPr>
          <w:rFonts w:ascii="Arial" w:hAnsi="Arial" w:cs="Arial"/>
          <w:b/>
          <w:bCs/>
          <w:sz w:val="20"/>
          <w:szCs w:val="20"/>
        </w:rPr>
        <w:t xml:space="preserve">2.2 Continuidade dos Negócios </w:t>
      </w:r>
    </w:p>
    <w:p w14:paraId="05C375DC" w14:textId="77777777" w:rsidR="00FE0C5A" w:rsidRDefault="000C18DB">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368D2B6D" w14:textId="6318B5C8" w:rsidR="00FE0C5A" w:rsidRDefault="000C18DB">
      <w:pPr>
        <w:pStyle w:val="NormalWeb"/>
        <w:jc w:val="both"/>
      </w:pPr>
      <w:r>
        <w:rPr>
          <w:rFonts w:ascii="Arial" w:hAnsi="Arial" w:cs="Arial"/>
          <w:b/>
          <w:bCs/>
          <w:sz w:val="20"/>
          <w:szCs w:val="20"/>
        </w:rPr>
        <w:t>2.3 Reapresentação de Informações Comparativas</w:t>
      </w:r>
    </w:p>
    <w:p w14:paraId="60C7B868" w14:textId="77777777" w:rsidR="00FE0C5A" w:rsidRDefault="000C18DB">
      <w:pPr>
        <w:pStyle w:val="NormalWeb"/>
        <w:jc w:val="both"/>
      </w:pPr>
      <w:r>
        <w:rPr>
          <w:rFonts w:ascii="Arial" w:hAnsi="Arial" w:cs="Arial"/>
          <w:sz w:val="20"/>
          <w:szCs w:val="20"/>
        </w:rPr>
        <w:t>No que foi praticável a reapresentação retrospectiva, de forma a manter a comparabilidade com o período anterior, conforme a aplicação do CPC 23 - Políticas Contábeis, Mudança de Estimativa e Retificação de Erro (Resolução CMN nº 4.924, de junho de 2021), as informações financeiras relativas ao balanço patrimonial, à demonstração de sobras ou perdas, à demonstração das mutações do patrimônio líquido e à demonstração dos fluxos de caixa para o exercício findo em 2022 são reapresentadas abaixo:</w:t>
      </w:r>
    </w:p>
    <w:p w14:paraId="68FA5661" w14:textId="20E7A66D" w:rsidR="00FE0C5A" w:rsidRDefault="000C18DB">
      <w:pPr>
        <w:pStyle w:val="NormalWeb"/>
        <w:jc w:val="both"/>
      </w:pPr>
      <w:r>
        <w:rPr>
          <w:rFonts w:ascii="Arial" w:hAnsi="Arial" w:cs="Arial"/>
          <w:sz w:val="20"/>
          <w:szCs w:val="20"/>
        </w:rPr>
        <w:lastRenderedPageBreak/>
        <w:t xml:space="preserve">O saldo constante na linha de “Reversão/Realização de Fundo” foi reclassificado na Demonstração do Fluxos de Caixa - DFC, em 2022, do grupo de “atividades de financiamentos” para “aumento/redução em passivos operacionais”. O montante envolvido foi de R$ </w:t>
      </w:r>
      <w:r w:rsidR="00E77244" w:rsidRPr="00E77244">
        <w:rPr>
          <w:rFonts w:ascii="Arial" w:hAnsi="Arial" w:cs="Arial"/>
          <w:sz w:val="20"/>
          <w:szCs w:val="20"/>
        </w:rPr>
        <w:t>552.562,82</w:t>
      </w:r>
      <w:r w:rsidR="00E77244">
        <w:rPr>
          <w:rFonts w:ascii="Arial" w:hAnsi="Arial" w:cs="Arial"/>
          <w:sz w:val="20"/>
          <w:szCs w:val="20"/>
        </w:rPr>
        <w:t>.</w:t>
      </w:r>
    </w:p>
    <w:p w14:paraId="66D0B6F4" w14:textId="77777777" w:rsidR="00FE0C5A" w:rsidRDefault="000C18DB">
      <w:pPr>
        <w:pStyle w:val="NormalWeb"/>
        <w:jc w:val="both"/>
      </w:pPr>
      <w:r>
        <w:rPr>
          <w:rFonts w:ascii="Arial" w:hAnsi="Arial" w:cs="Arial"/>
          <w:sz w:val="20"/>
          <w:szCs w:val="20"/>
        </w:rPr>
        <w:t xml:space="preserve">A reapresentação descrita não resultou na </w:t>
      </w:r>
      <w:r>
        <w:rPr>
          <w:rFonts w:ascii="Arial" w:hAnsi="Arial" w:cs="Arial"/>
          <w:sz w:val="20"/>
          <w:szCs w:val="20"/>
        </w:rPr>
        <w:t>modificação do saldo da Variação Líquida de Caixa e Equivalentes de Caixa da Demonstração do Fluxo de Caixa - DFC apurada no exercício findo em 2022.</w:t>
      </w:r>
    </w:p>
    <w:p w14:paraId="7007A82C" w14:textId="77777777" w:rsidR="00FE0C5A" w:rsidRDefault="000C18DB">
      <w:pPr>
        <w:pStyle w:val="NormalWeb"/>
        <w:jc w:val="both"/>
      </w:pPr>
      <w:r>
        <w:rPr>
          <w:rFonts w:ascii="Arial" w:hAnsi="Arial" w:cs="Arial"/>
          <w:b/>
          <w:bCs/>
          <w:sz w:val="20"/>
          <w:szCs w:val="20"/>
        </w:rPr>
        <w:t xml:space="preserve">3. Resumo das Principais Políticas Contábeis </w:t>
      </w:r>
    </w:p>
    <w:p w14:paraId="70CB91A6" w14:textId="77777777" w:rsidR="00FE0C5A" w:rsidRDefault="000C18DB">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4C9F7C46" w14:textId="77777777" w:rsidR="00FE0C5A" w:rsidRDefault="000C18DB">
      <w:pPr>
        <w:pStyle w:val="NormalWeb"/>
        <w:jc w:val="both"/>
      </w:pPr>
      <w:r>
        <w:rPr>
          <w:rFonts w:ascii="Arial" w:hAnsi="Arial" w:cs="Arial"/>
          <w:sz w:val="20"/>
          <w:szCs w:val="20"/>
        </w:rPr>
        <w:t>Os ingressos/receitas e os dispêndios/despesas são registrados de acordo com o regime de competência.</w:t>
      </w:r>
    </w:p>
    <w:p w14:paraId="1D6F63B9" w14:textId="77777777" w:rsidR="00FE0C5A" w:rsidRDefault="000C18DB">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55515EF6" w14:textId="77777777" w:rsidR="00FE0C5A" w:rsidRDefault="000C18DB">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2DB4EA65" w14:textId="77777777" w:rsidR="00FE0C5A" w:rsidRDefault="000C18DB">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1090F52B" w14:textId="77777777" w:rsidR="00FE0C5A" w:rsidRDefault="000C18DB">
      <w:pPr>
        <w:pStyle w:val="NormalWeb"/>
        <w:jc w:val="both"/>
      </w:pPr>
      <w:r>
        <w:rPr>
          <w:rFonts w:ascii="Arial" w:hAnsi="Arial" w:cs="Arial"/>
          <w:b/>
          <w:bCs/>
          <w:sz w:val="20"/>
          <w:szCs w:val="20"/>
        </w:rPr>
        <w:t>b) Estimativas Contábeis</w:t>
      </w:r>
    </w:p>
    <w:p w14:paraId="241A293F" w14:textId="77777777" w:rsidR="00FE0C5A" w:rsidRDefault="000C18DB">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1AAD1953" w14:textId="77777777" w:rsidR="00FE0C5A" w:rsidRDefault="000C18DB">
      <w:pPr>
        <w:pStyle w:val="NormalWeb"/>
        <w:jc w:val="both"/>
      </w:pPr>
      <w:r>
        <w:rPr>
          <w:rFonts w:ascii="Arial" w:hAnsi="Arial" w:cs="Arial"/>
          <w:b/>
          <w:bCs/>
          <w:sz w:val="20"/>
          <w:szCs w:val="20"/>
        </w:rPr>
        <w:t xml:space="preserve">c) </w:t>
      </w:r>
      <w:r>
        <w:rPr>
          <w:rFonts w:ascii="Arial" w:hAnsi="Arial" w:cs="Arial"/>
          <w:b/>
          <w:bCs/>
          <w:sz w:val="20"/>
          <w:szCs w:val="20"/>
        </w:rPr>
        <w:t>Caixa e Equivalentes de Caixa</w:t>
      </w:r>
    </w:p>
    <w:p w14:paraId="7DB14AE8" w14:textId="77777777" w:rsidR="00FE0C5A" w:rsidRDefault="000C18DB">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1593AA9C" w14:textId="77777777" w:rsidR="00FE0C5A" w:rsidRDefault="000C18DB">
      <w:pPr>
        <w:pStyle w:val="NormalWeb"/>
        <w:jc w:val="both"/>
      </w:pPr>
      <w:r>
        <w:rPr>
          <w:rFonts w:ascii="Arial" w:hAnsi="Arial" w:cs="Arial"/>
          <w:b/>
          <w:bCs/>
          <w:sz w:val="20"/>
          <w:szCs w:val="20"/>
        </w:rPr>
        <w:t>d) Aplicações Interfinanceiras de Liquidez</w:t>
      </w:r>
    </w:p>
    <w:p w14:paraId="5D04CDC1" w14:textId="77777777" w:rsidR="00FE0C5A" w:rsidRDefault="000C18DB">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1C564FF7" w14:textId="77777777" w:rsidR="00FE0C5A" w:rsidRDefault="000C18DB">
      <w:pPr>
        <w:pStyle w:val="NormalWeb"/>
        <w:jc w:val="both"/>
      </w:pPr>
      <w:r>
        <w:rPr>
          <w:rFonts w:ascii="Arial" w:hAnsi="Arial" w:cs="Arial"/>
          <w:b/>
          <w:bCs/>
          <w:sz w:val="20"/>
          <w:szCs w:val="20"/>
        </w:rPr>
        <w:t>e) Títulos e Valores Mobiliários</w:t>
      </w:r>
    </w:p>
    <w:p w14:paraId="36466AF5" w14:textId="77777777" w:rsidR="00FE0C5A" w:rsidRDefault="000C18DB">
      <w:pPr>
        <w:pStyle w:val="NormalWeb"/>
        <w:jc w:val="both"/>
      </w:pPr>
      <w:r>
        <w:rPr>
          <w:rFonts w:ascii="Arial" w:hAnsi="Arial" w:cs="Arial"/>
          <w:sz w:val="20"/>
          <w:szCs w:val="20"/>
        </w:rPr>
        <w:t>São representados pelas Participações de Cooperativas registradas pelo valor do custo, conforme reclassificação requerida pela Resolução CMN nº 4.817/2020.</w:t>
      </w:r>
    </w:p>
    <w:p w14:paraId="468203A2" w14:textId="77777777" w:rsidR="00FE0C5A" w:rsidRDefault="000C18DB">
      <w:pPr>
        <w:pStyle w:val="NormalWeb"/>
        <w:jc w:val="both"/>
      </w:pPr>
      <w:r>
        <w:rPr>
          <w:rFonts w:ascii="Arial" w:hAnsi="Arial" w:cs="Arial"/>
          <w:sz w:val="20"/>
          <w:szCs w:val="20"/>
        </w:rPr>
        <w:t>A carteira de Títulos e Valores Mobiliários é composta ainda, por títulos de renda fixa, os quais são apresentados pelo custo acrescido dos rendimentos auferidos até a data do Balanço, ajustados aos respectivos valores de mercado.</w:t>
      </w:r>
    </w:p>
    <w:p w14:paraId="04D23466" w14:textId="77777777" w:rsidR="00FE0C5A" w:rsidRDefault="000C18DB">
      <w:pPr>
        <w:pStyle w:val="NormalWeb"/>
        <w:jc w:val="both"/>
      </w:pPr>
      <w:r>
        <w:rPr>
          <w:rFonts w:ascii="Arial" w:hAnsi="Arial" w:cs="Arial"/>
          <w:sz w:val="20"/>
          <w:szCs w:val="20"/>
        </w:rPr>
        <w:t xml:space="preserve">As Cédulas de Produto Rural (CPRs) são importantes fontes de financiamento para os produtores rurais, precisam ser registradas ou depositadas em instituições autorizadas pelo Banco Central (BC). É um título de </w:t>
      </w:r>
      <w:r>
        <w:rPr>
          <w:rFonts w:ascii="Arial" w:hAnsi="Arial" w:cs="Arial"/>
          <w:sz w:val="20"/>
          <w:szCs w:val="20"/>
        </w:rPr>
        <w:lastRenderedPageBreak/>
        <w:t>crédito emitido por produtores rurais, cooperativas e associações, com a finalidade de captação de recursos para produção ou empreendimento, com aval de uma instituição financeira.</w:t>
      </w:r>
    </w:p>
    <w:p w14:paraId="0F30D8AB" w14:textId="77777777" w:rsidR="00FE0C5A" w:rsidRDefault="000C18DB">
      <w:pPr>
        <w:pStyle w:val="NormalWeb"/>
        <w:jc w:val="both"/>
      </w:pPr>
      <w:r>
        <w:rPr>
          <w:rFonts w:ascii="Arial" w:hAnsi="Arial" w:cs="Arial"/>
          <w:sz w:val="20"/>
          <w:szCs w:val="20"/>
        </w:rPr>
        <w:t>A Cédula de Produto Rural com Liquidação Financeira (CPR-F), prefixada e pós-fixada, é um título representativo de uma obrigação em dinheiro, cujo índice de apuração do débito é o valor do produto especificado na cédula mais juros pactuados.</w:t>
      </w:r>
    </w:p>
    <w:p w14:paraId="5FF4C0A8" w14:textId="77777777" w:rsidR="00FE0C5A" w:rsidRDefault="000C18DB">
      <w:pPr>
        <w:pStyle w:val="NormalWeb"/>
        <w:jc w:val="both"/>
      </w:pPr>
      <w:r>
        <w:rPr>
          <w:rFonts w:ascii="Arial" w:hAnsi="Arial" w:cs="Arial"/>
          <w:sz w:val="20"/>
          <w:szCs w:val="20"/>
        </w:rPr>
        <w:t>Para realização da provisão de desvalorização da CPR são utilizadas as métricas de cálculo da Resolução CMN 2.682/99, considerando o nível de risco e dias de atraso.</w:t>
      </w:r>
    </w:p>
    <w:p w14:paraId="4B8FD123" w14:textId="77777777" w:rsidR="00FE0C5A" w:rsidRDefault="000C18DB">
      <w:pPr>
        <w:pStyle w:val="NormalWeb"/>
        <w:jc w:val="both"/>
      </w:pPr>
      <w:r>
        <w:rPr>
          <w:rFonts w:ascii="Arial" w:hAnsi="Arial" w:cs="Arial"/>
          <w:b/>
          <w:bCs/>
          <w:sz w:val="20"/>
          <w:szCs w:val="20"/>
        </w:rPr>
        <w:t>f) Relações Interfinanceiras – Centralização Financeira</w:t>
      </w:r>
    </w:p>
    <w:p w14:paraId="6756F8F7" w14:textId="77777777" w:rsidR="00FE0C5A" w:rsidRDefault="000C18DB">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0E99FFFD" w14:textId="77777777" w:rsidR="00FE0C5A" w:rsidRDefault="000C18DB">
      <w:pPr>
        <w:pStyle w:val="NormalWeb"/>
        <w:jc w:val="both"/>
      </w:pPr>
      <w:r>
        <w:rPr>
          <w:rFonts w:ascii="Arial" w:hAnsi="Arial" w:cs="Arial"/>
          <w:b/>
          <w:bCs/>
          <w:sz w:val="20"/>
          <w:szCs w:val="20"/>
        </w:rPr>
        <w:t>g) Operações de Crédito</w:t>
      </w:r>
    </w:p>
    <w:p w14:paraId="44FE41BC" w14:textId="77777777" w:rsidR="00FE0C5A" w:rsidRDefault="000C18DB">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692CA54E" w14:textId="77777777" w:rsidR="00FE0C5A" w:rsidRDefault="000C18DB">
      <w:pPr>
        <w:pStyle w:val="NormalWeb"/>
        <w:jc w:val="both"/>
      </w:pPr>
      <w:r>
        <w:rPr>
          <w:rFonts w:ascii="Arial" w:hAnsi="Arial" w:cs="Arial"/>
          <w:b/>
          <w:bCs/>
          <w:sz w:val="20"/>
          <w:szCs w:val="20"/>
        </w:rPr>
        <w:t>h) Provisão para Perdas Associadas ao Risco de Crédito</w:t>
      </w:r>
    </w:p>
    <w:p w14:paraId="70CEA3A2" w14:textId="77777777" w:rsidR="00FE0C5A" w:rsidRDefault="000C18DB">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4268792F" w14:textId="77777777" w:rsidR="00FE0C5A" w:rsidRDefault="000C18DB">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w:t>
      </w:r>
      <w:r>
        <w:rPr>
          <w:rFonts w:ascii="Arial" w:hAnsi="Arial" w:cs="Arial"/>
          <w:sz w:val="20"/>
          <w:szCs w:val="20"/>
        </w:rPr>
        <w:t>odos os procedimentos para cobrança, não mais figurando no Balanço Patrimonial.</w:t>
      </w:r>
    </w:p>
    <w:p w14:paraId="3CFDD950" w14:textId="77777777" w:rsidR="00FE0C5A" w:rsidRDefault="000C18DB">
      <w:pPr>
        <w:pStyle w:val="NormalWeb"/>
        <w:jc w:val="both"/>
      </w:pPr>
      <w:r>
        <w:rPr>
          <w:rFonts w:ascii="Arial" w:hAnsi="Arial" w:cs="Arial"/>
          <w:b/>
          <w:bCs/>
          <w:sz w:val="20"/>
          <w:szCs w:val="20"/>
        </w:rPr>
        <w:t>i) Ativos não financeiros mantidos para venda</w:t>
      </w:r>
    </w:p>
    <w:p w14:paraId="7186B8B6" w14:textId="77777777" w:rsidR="00FE0C5A" w:rsidRDefault="000C18DB">
      <w:pPr>
        <w:pStyle w:val="NormalWeb"/>
        <w:jc w:val="both"/>
      </w:pPr>
      <w:r>
        <w:rPr>
          <w:rFonts w:ascii="Arial" w:hAnsi="Arial" w:cs="Arial"/>
          <w:sz w:val="20"/>
          <w:szCs w:val="20"/>
        </w:rPr>
        <w:t>São os bens de propriedade da Cooperativa não utilizados no desempenho da atividade social, recebidos para liquidação parcial ou total de operações de crédito de difícil ou duvidosa solução, a Resolução CMN nº 4.747/2019 determina a segregação dos ativos não financeiros mantidos para venda em próprios e recebidos de terceiros. A mensuração do valor contábil e os procedimentos para ajuste anual do valor contábil são revistos no encerramento de cada exercício de acordo com os critérios definidos pelo CPC 46 –</w:t>
      </w:r>
      <w:r>
        <w:rPr>
          <w:rFonts w:ascii="Arial" w:hAnsi="Arial" w:cs="Arial"/>
          <w:sz w:val="20"/>
          <w:szCs w:val="20"/>
        </w:rPr>
        <w:t xml:space="preserve"> Mensuração do Valor Justo, o qual foi aprovado pela Resolução CMN nº 4.924/21.</w:t>
      </w:r>
    </w:p>
    <w:p w14:paraId="58691879" w14:textId="77777777" w:rsidR="00FE0C5A" w:rsidRDefault="000C18DB">
      <w:pPr>
        <w:pStyle w:val="NormalWeb"/>
        <w:jc w:val="both"/>
      </w:pPr>
      <w:r>
        <w:rPr>
          <w:rFonts w:ascii="Arial" w:hAnsi="Arial" w:cs="Arial"/>
          <w:b/>
          <w:bCs/>
          <w:sz w:val="20"/>
          <w:szCs w:val="20"/>
        </w:rPr>
        <w:t>j) Depósitos em Garantia</w:t>
      </w:r>
    </w:p>
    <w:p w14:paraId="52DCCB9F" w14:textId="77777777" w:rsidR="00FE0C5A" w:rsidRDefault="000C18DB">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3AE3BF24" w14:textId="22E1FC57" w:rsidR="00FE0C5A" w:rsidRDefault="00431FFA">
      <w:pPr>
        <w:pStyle w:val="NormalWeb"/>
        <w:jc w:val="both"/>
      </w:pPr>
      <w:r>
        <w:rPr>
          <w:rFonts w:ascii="Arial" w:hAnsi="Arial" w:cs="Arial"/>
          <w:b/>
          <w:bCs/>
          <w:sz w:val="20"/>
          <w:szCs w:val="20"/>
        </w:rPr>
        <w:t>k) Imobilizado de Uso</w:t>
      </w:r>
    </w:p>
    <w:p w14:paraId="4E289388" w14:textId="77777777" w:rsidR="00FE0C5A" w:rsidRDefault="000C18DB">
      <w:pPr>
        <w:pStyle w:val="NormalWeb"/>
        <w:jc w:val="both"/>
      </w:pPr>
      <w:r>
        <w:rPr>
          <w:rFonts w:ascii="Arial" w:hAnsi="Arial" w:cs="Arial"/>
          <w:sz w:val="20"/>
          <w:szCs w:val="20"/>
        </w:rPr>
        <w:lastRenderedPageBreak/>
        <w:t>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05B09EE1" w14:textId="0784932E" w:rsidR="00FE0C5A" w:rsidRDefault="00431FFA">
      <w:pPr>
        <w:pStyle w:val="NormalWeb"/>
        <w:jc w:val="both"/>
      </w:pPr>
      <w:r>
        <w:rPr>
          <w:rFonts w:ascii="Arial" w:hAnsi="Arial" w:cs="Arial"/>
          <w:b/>
          <w:bCs/>
          <w:sz w:val="20"/>
          <w:szCs w:val="20"/>
        </w:rPr>
        <w:t>l) Intangível</w:t>
      </w:r>
    </w:p>
    <w:p w14:paraId="63CBC260" w14:textId="77777777" w:rsidR="00FE0C5A" w:rsidRDefault="000C18DB">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1AECD643" w14:textId="4D63B17D" w:rsidR="00FE0C5A" w:rsidRDefault="00431FFA">
      <w:pPr>
        <w:pStyle w:val="NormalWeb"/>
        <w:jc w:val="both"/>
      </w:pPr>
      <w:r>
        <w:rPr>
          <w:rFonts w:ascii="Arial" w:hAnsi="Arial" w:cs="Arial"/>
          <w:b/>
          <w:bCs/>
          <w:sz w:val="20"/>
          <w:szCs w:val="20"/>
        </w:rPr>
        <w:t>m) Ativos Contingentes</w:t>
      </w:r>
    </w:p>
    <w:p w14:paraId="0AE485B6" w14:textId="77777777" w:rsidR="00FE0C5A" w:rsidRDefault="000C18DB">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7BEA4186" w14:textId="142A25B2" w:rsidR="00FE0C5A" w:rsidRDefault="00431FFA">
      <w:pPr>
        <w:pStyle w:val="NormalWeb"/>
        <w:jc w:val="both"/>
      </w:pPr>
      <w:r>
        <w:rPr>
          <w:rFonts w:ascii="Arial" w:hAnsi="Arial" w:cs="Arial"/>
          <w:b/>
          <w:bCs/>
          <w:sz w:val="20"/>
          <w:szCs w:val="20"/>
        </w:rPr>
        <w:t>n) Obrigações por Empréstimos e Repasses</w:t>
      </w:r>
    </w:p>
    <w:p w14:paraId="64E0AA89" w14:textId="77777777" w:rsidR="00FE0C5A" w:rsidRDefault="000C18DB">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referentes aos encargos contratados até o fim do contrato, quando calculáveis.</w:t>
      </w:r>
    </w:p>
    <w:p w14:paraId="19FB4986" w14:textId="621E74AC" w:rsidR="00FE0C5A" w:rsidRDefault="00431FFA">
      <w:pPr>
        <w:pStyle w:val="NormalWeb"/>
        <w:jc w:val="both"/>
      </w:pPr>
      <w:r>
        <w:rPr>
          <w:rFonts w:ascii="Arial" w:hAnsi="Arial" w:cs="Arial"/>
          <w:b/>
          <w:bCs/>
          <w:sz w:val="20"/>
          <w:szCs w:val="20"/>
        </w:rPr>
        <w:t>o) Depósitos e Recursos de Aceite e Emissão de Títulos</w:t>
      </w:r>
    </w:p>
    <w:p w14:paraId="584067E7" w14:textId="77777777" w:rsidR="00FE0C5A" w:rsidRDefault="000C18DB">
      <w:pPr>
        <w:pStyle w:val="NormalWeb"/>
        <w:jc w:val="both"/>
      </w:pPr>
      <w:r>
        <w:rPr>
          <w:rFonts w:ascii="Arial" w:hAnsi="Arial" w:cs="Arial"/>
          <w:sz w:val="20"/>
          <w:szCs w:val="20"/>
        </w:rPr>
        <w:t xml:space="preserve">Os depósitos e os recursos de aceite e emissão de títulos são demonstrados pelos valores das </w:t>
      </w:r>
      <w:r>
        <w:rPr>
          <w:rFonts w:ascii="Arial" w:hAnsi="Arial" w:cs="Arial"/>
          <w:sz w:val="20"/>
          <w:szCs w:val="20"/>
        </w:rPr>
        <w:t>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39DEFB09" w14:textId="4A877B1C" w:rsidR="00FE0C5A" w:rsidRDefault="00431FFA">
      <w:pPr>
        <w:pStyle w:val="NormalWeb"/>
        <w:jc w:val="both"/>
      </w:pPr>
      <w:r>
        <w:rPr>
          <w:rFonts w:ascii="Arial" w:hAnsi="Arial" w:cs="Arial"/>
          <w:b/>
          <w:bCs/>
          <w:sz w:val="20"/>
          <w:szCs w:val="20"/>
        </w:rPr>
        <w:t xml:space="preserve">p) Outros Ativos </w:t>
      </w:r>
    </w:p>
    <w:p w14:paraId="3A51543F" w14:textId="77777777" w:rsidR="00FE0C5A" w:rsidRDefault="000C18DB">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5D19D5C4" w14:textId="48772547" w:rsidR="00FE0C5A" w:rsidRDefault="00431FFA">
      <w:pPr>
        <w:pStyle w:val="NormalWeb"/>
        <w:jc w:val="both"/>
      </w:pPr>
      <w:r>
        <w:rPr>
          <w:rFonts w:ascii="Arial" w:hAnsi="Arial" w:cs="Arial"/>
          <w:b/>
          <w:bCs/>
          <w:sz w:val="20"/>
          <w:szCs w:val="20"/>
        </w:rPr>
        <w:t>q) Outros Passivos</w:t>
      </w:r>
    </w:p>
    <w:p w14:paraId="432ABB16" w14:textId="77777777" w:rsidR="00FE0C5A" w:rsidRDefault="000C18DB">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595810A2" w14:textId="4CE8904E" w:rsidR="00FE0C5A" w:rsidRDefault="00431FFA">
      <w:pPr>
        <w:pStyle w:val="NormalWeb"/>
        <w:jc w:val="both"/>
      </w:pPr>
      <w:r>
        <w:rPr>
          <w:rFonts w:ascii="Arial" w:hAnsi="Arial" w:cs="Arial"/>
          <w:b/>
          <w:bCs/>
          <w:sz w:val="20"/>
          <w:szCs w:val="20"/>
        </w:rPr>
        <w:t>r) Provisões</w:t>
      </w:r>
    </w:p>
    <w:p w14:paraId="2283084C" w14:textId="77777777" w:rsidR="00FE0C5A" w:rsidRDefault="000C18DB">
      <w:pPr>
        <w:pStyle w:val="NormalWeb"/>
        <w:jc w:val="both"/>
      </w:pPr>
      <w:r>
        <w:rPr>
          <w:rFonts w:ascii="Arial" w:hAnsi="Arial" w:cs="Arial"/>
          <w:sz w:val="20"/>
          <w:szCs w:val="20"/>
        </w:rPr>
        <w:t>O reconhecimento, a mensuração e a divulgação das provisões,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17E1FF3D" w14:textId="77777777" w:rsidR="00FE0C5A" w:rsidRDefault="000C18DB">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54098068" w14:textId="77777777" w:rsidR="00FE0C5A" w:rsidRDefault="000C18DB">
      <w:pPr>
        <w:pStyle w:val="NormalWeb"/>
        <w:jc w:val="both"/>
      </w:pPr>
      <w:r>
        <w:rPr>
          <w:rFonts w:ascii="Arial" w:hAnsi="Arial" w:cs="Arial"/>
          <w:sz w:val="20"/>
          <w:szCs w:val="20"/>
        </w:rPr>
        <w:t xml:space="preserve">As provisões para Demandas Judiciais e Passivos Contingentes são reconhecidos contabilmente quando, com base na opinião de assessores jurídicos, for considerado provável o risco de perda de uma ação judicial ou </w:t>
      </w:r>
      <w:r>
        <w:rPr>
          <w:rFonts w:ascii="Arial" w:hAnsi="Arial" w:cs="Arial"/>
          <w:sz w:val="20"/>
          <w:szCs w:val="20"/>
        </w:rPr>
        <w:lastRenderedPageBreak/>
        <w:t>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0B8FE6EF" w14:textId="77777777" w:rsidR="00FE0C5A" w:rsidRDefault="000C18DB">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2A9B0770" w14:textId="1A63190B" w:rsidR="00FE0C5A" w:rsidRDefault="00431FFA">
      <w:pPr>
        <w:pStyle w:val="NormalWeb"/>
        <w:jc w:val="both"/>
      </w:pPr>
      <w:r>
        <w:rPr>
          <w:rFonts w:ascii="Arial" w:hAnsi="Arial" w:cs="Arial"/>
          <w:b/>
          <w:bCs/>
          <w:sz w:val="20"/>
          <w:szCs w:val="20"/>
        </w:rPr>
        <w:t>s) Tributos</w:t>
      </w:r>
    </w:p>
    <w:p w14:paraId="18791866" w14:textId="77777777" w:rsidR="00FE0C5A" w:rsidRDefault="000C18DB">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78A9CA2E" w14:textId="77777777" w:rsidR="00FE0C5A" w:rsidRDefault="000C18DB">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24BE51B4" w14:textId="77777777" w:rsidR="00FE0C5A" w:rsidRDefault="000C18DB">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34513E22" w14:textId="77777777" w:rsidR="00FE0C5A" w:rsidRDefault="000C18DB">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2BC96CBA" w14:textId="77777777" w:rsidR="00FE0C5A" w:rsidRDefault="000C18DB">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695CF542" w14:textId="77777777" w:rsidR="00FE0C5A" w:rsidRDefault="000C18DB">
      <w:pPr>
        <w:pStyle w:val="NormalWeb"/>
        <w:jc w:val="both"/>
      </w:pPr>
      <w:r>
        <w:rPr>
          <w:rFonts w:ascii="Arial" w:hAnsi="Arial" w:cs="Arial"/>
          <w:sz w:val="20"/>
          <w:szCs w:val="20"/>
        </w:rPr>
        <w:t>O resultado apurado em operações realizadas com Associados não tem incidência de tributação.</w:t>
      </w:r>
    </w:p>
    <w:p w14:paraId="2E39CF14" w14:textId="196FE264" w:rsidR="00FE0C5A" w:rsidRDefault="00431FFA">
      <w:pPr>
        <w:pStyle w:val="NormalWeb"/>
        <w:jc w:val="both"/>
      </w:pPr>
      <w:r>
        <w:rPr>
          <w:rFonts w:ascii="Arial" w:hAnsi="Arial" w:cs="Arial"/>
          <w:b/>
          <w:bCs/>
          <w:sz w:val="20"/>
          <w:szCs w:val="20"/>
        </w:rPr>
        <w:t>t) Segregação em Circulante e Não Circulante</w:t>
      </w:r>
    </w:p>
    <w:p w14:paraId="7AC9ED88" w14:textId="77777777" w:rsidR="00FE0C5A" w:rsidRDefault="000C18DB">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2FAA6E3F" w14:textId="40BE7752" w:rsidR="00FE0C5A" w:rsidRDefault="00431FFA">
      <w:pPr>
        <w:pStyle w:val="NormalWeb"/>
        <w:jc w:val="both"/>
      </w:pPr>
      <w:r>
        <w:rPr>
          <w:rFonts w:ascii="Arial" w:hAnsi="Arial" w:cs="Arial"/>
          <w:b/>
          <w:bCs/>
          <w:sz w:val="20"/>
          <w:szCs w:val="20"/>
        </w:rPr>
        <w:t xml:space="preserve">u) Valor Recuperável de Ativos – </w:t>
      </w:r>
      <w:r>
        <w:rPr>
          <w:rFonts w:ascii="Arial" w:hAnsi="Arial" w:cs="Arial"/>
          <w:b/>
          <w:bCs/>
          <w:i/>
          <w:iCs/>
          <w:sz w:val="20"/>
          <w:szCs w:val="20"/>
        </w:rPr>
        <w:t xml:space="preserve">Impairment </w:t>
      </w:r>
    </w:p>
    <w:p w14:paraId="385439D5" w14:textId="77777777" w:rsidR="00FE0C5A" w:rsidRDefault="000C18DB">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123B7D25" w14:textId="67F3B9C8" w:rsidR="00FE0C5A" w:rsidRDefault="00431FFA">
      <w:pPr>
        <w:pStyle w:val="NormalWeb"/>
        <w:jc w:val="both"/>
      </w:pPr>
      <w:r>
        <w:rPr>
          <w:rFonts w:ascii="Arial" w:hAnsi="Arial" w:cs="Arial"/>
          <w:b/>
          <w:bCs/>
          <w:sz w:val="20"/>
          <w:szCs w:val="20"/>
        </w:rPr>
        <w:t>v) Partes Relacionadas</w:t>
      </w:r>
    </w:p>
    <w:p w14:paraId="0F3CA2FA" w14:textId="77777777" w:rsidR="00FE0C5A" w:rsidRDefault="000C18DB">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2444FC95" w14:textId="77777777" w:rsidR="00FE0C5A" w:rsidRDefault="000C18DB">
      <w:pPr>
        <w:pStyle w:val="NormalWeb"/>
        <w:jc w:val="both"/>
      </w:pPr>
      <w:r>
        <w:rPr>
          <w:rFonts w:ascii="Arial" w:hAnsi="Arial" w:cs="Arial"/>
          <w:sz w:val="20"/>
          <w:szCs w:val="20"/>
        </w:rPr>
        <w:lastRenderedPageBreak/>
        <w:t>Dessa forma, para fins de elaboração e divulgação das demonstrações financeiras e respectivas notas explicativas, não são consideradas partes relacionadas os membros do Conselho Fiscal.</w:t>
      </w:r>
    </w:p>
    <w:p w14:paraId="059A969B" w14:textId="6F126806" w:rsidR="00FE0C5A" w:rsidRDefault="00431FFA">
      <w:pPr>
        <w:pStyle w:val="NormalWeb"/>
        <w:jc w:val="both"/>
      </w:pPr>
      <w:r>
        <w:rPr>
          <w:rFonts w:ascii="Arial" w:hAnsi="Arial" w:cs="Arial"/>
          <w:b/>
          <w:bCs/>
          <w:sz w:val="20"/>
          <w:szCs w:val="20"/>
        </w:rPr>
        <w:t>w) Resultados Recorrentes e Não Recorrentes</w:t>
      </w:r>
    </w:p>
    <w:p w14:paraId="16906DCF" w14:textId="77777777" w:rsidR="00FE0C5A" w:rsidRDefault="000C18DB">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3DD16C33" w14:textId="60A7D874" w:rsidR="00FE0C5A" w:rsidRDefault="00431FFA">
      <w:pPr>
        <w:pStyle w:val="NormalWeb"/>
        <w:jc w:val="both"/>
      </w:pPr>
      <w:r>
        <w:rPr>
          <w:rFonts w:ascii="Arial" w:hAnsi="Arial" w:cs="Arial"/>
          <w:b/>
          <w:bCs/>
          <w:sz w:val="20"/>
          <w:szCs w:val="20"/>
        </w:rPr>
        <w:t xml:space="preserve">x) Instrumentos Financeiros </w:t>
      </w:r>
    </w:p>
    <w:p w14:paraId="2630BDBD" w14:textId="77777777" w:rsidR="00FE0C5A" w:rsidRDefault="000C18DB">
      <w:pPr>
        <w:pStyle w:val="NormalWeb"/>
        <w:jc w:val="both"/>
      </w:pPr>
      <w:r>
        <w:rPr>
          <w:rFonts w:ascii="Arial" w:hAnsi="Arial" w:cs="Arial"/>
          <w:sz w:val="20"/>
          <w:szCs w:val="20"/>
        </w:rPr>
        <w:t>O SICOOB COPERSUL opera com diversos instrumentos financeiros, com destaque para caixa e equivalentes de caixa, aplicações interfinanceiras de liquidez, títulos e valores mobiliários, operações de crédito, operações com característica de crédito, operações de câmbio, depósitos à vista e a prazo, empréstimos e repasses, dentre outros.</w:t>
      </w:r>
    </w:p>
    <w:p w14:paraId="36EBD400" w14:textId="34E78D49" w:rsidR="00FE0C5A" w:rsidRDefault="000C18DB">
      <w:pPr>
        <w:pStyle w:val="NormalWeb"/>
        <w:jc w:val="both"/>
      </w:pPr>
      <w:r>
        <w:rPr>
          <w:rFonts w:ascii="Arial" w:hAnsi="Arial" w:cs="Arial"/>
          <w:sz w:val="20"/>
          <w:szCs w:val="20"/>
        </w:rPr>
        <w:t xml:space="preserve">Nos períodos findos em 31 de dezembro de 2023 e 2022, a Cooperativa não realizou operações envolvendo instrumentos </w:t>
      </w:r>
      <w:r>
        <w:rPr>
          <w:rFonts w:ascii="Arial" w:hAnsi="Arial" w:cs="Arial"/>
          <w:sz w:val="20"/>
          <w:szCs w:val="20"/>
        </w:rPr>
        <w:t>financeiros derivativos.</w:t>
      </w:r>
    </w:p>
    <w:p w14:paraId="1030E3C3" w14:textId="667E0C72" w:rsidR="00FE0C5A" w:rsidRDefault="00431FFA">
      <w:pPr>
        <w:pStyle w:val="NormalWeb"/>
        <w:jc w:val="both"/>
      </w:pPr>
      <w:r>
        <w:rPr>
          <w:rFonts w:ascii="Arial" w:hAnsi="Arial" w:cs="Arial"/>
          <w:b/>
          <w:bCs/>
          <w:sz w:val="20"/>
          <w:szCs w:val="20"/>
        </w:rPr>
        <w:t xml:space="preserve">y) Eventos Subsequentes </w:t>
      </w:r>
    </w:p>
    <w:p w14:paraId="3E9E6890" w14:textId="77777777" w:rsidR="00FE0C5A" w:rsidRDefault="000C18DB">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5E1E230B" w14:textId="77777777" w:rsidR="00FE0C5A" w:rsidRDefault="000C18DB">
      <w:pPr>
        <w:pStyle w:val="NormalWeb"/>
        <w:jc w:val="both"/>
      </w:pPr>
      <w:r>
        <w:rPr>
          <w:rFonts w:ascii="Arial" w:hAnsi="Arial" w:cs="Arial"/>
          <w:sz w:val="20"/>
          <w:szCs w:val="20"/>
        </w:rPr>
        <w:t>• Eventos que originam ajustes: evidenciam condições que já existiam na data-base das demonstrações financeiras; e</w:t>
      </w:r>
    </w:p>
    <w:p w14:paraId="453348D1" w14:textId="77777777" w:rsidR="00FE0C5A" w:rsidRDefault="000C18DB">
      <w:pPr>
        <w:pStyle w:val="NormalWeb"/>
        <w:jc w:val="both"/>
      </w:pPr>
      <w:r>
        <w:rPr>
          <w:rFonts w:ascii="Arial" w:hAnsi="Arial" w:cs="Arial"/>
          <w:sz w:val="20"/>
          <w:szCs w:val="20"/>
        </w:rPr>
        <w:t>• Eventos que não originam ajustes: evidenciam condições que não existiam na data-base das demonstrações financeiras.</w:t>
      </w:r>
    </w:p>
    <w:p w14:paraId="5B7D6260" w14:textId="230E3683" w:rsidR="00FE0C5A" w:rsidRDefault="000C18DB">
      <w:pPr>
        <w:pStyle w:val="NormalWeb"/>
        <w:jc w:val="both"/>
      </w:pPr>
      <w:r>
        <w:rPr>
          <w:rFonts w:ascii="Arial" w:hAnsi="Arial" w:cs="Arial"/>
          <w:sz w:val="20"/>
          <w:szCs w:val="20"/>
        </w:rPr>
        <w:t>Não houve qualquer evento subsequente para as demonstrações financeiras encerradas em 31 de dezembro de 2023.</w:t>
      </w:r>
    </w:p>
    <w:p w14:paraId="7433DEA7" w14:textId="77777777" w:rsidR="00FE0C5A" w:rsidRDefault="000C18DB">
      <w:pPr>
        <w:pStyle w:val="NormalWeb"/>
        <w:jc w:val="both"/>
      </w:pPr>
      <w:r>
        <w:rPr>
          <w:rFonts w:ascii="Arial" w:hAnsi="Arial" w:cs="Arial"/>
          <w:b/>
          <w:bCs/>
          <w:sz w:val="20"/>
          <w:szCs w:val="20"/>
        </w:rPr>
        <w:t>4. Caixa e Equivalente de Caixa</w:t>
      </w:r>
    </w:p>
    <w:p w14:paraId="04F1AE73" w14:textId="77777777" w:rsidR="00FE0C5A" w:rsidRDefault="000C18DB">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312"/>
        <w:gridCol w:w="1838"/>
        <w:gridCol w:w="1838"/>
      </w:tblGrid>
      <w:tr w:rsidR="00FE0C5A" w14:paraId="64C1D4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BE15F8"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D9AAC"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36836"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0E103E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02407C" w14:textId="77777777" w:rsidR="00FE0C5A" w:rsidRDefault="000C18DB" w:rsidP="00F113BD">
            <w:pPr>
              <w:spacing w:after="0"/>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0DD45" w14:textId="77777777" w:rsidR="00FE0C5A" w:rsidRDefault="000C18DB" w:rsidP="00F113BD">
            <w:pPr>
              <w:spacing w:after="0"/>
              <w:jc w:val="right"/>
              <w:rPr>
                <w:rFonts w:eastAsia="Times New Roman"/>
              </w:rPr>
            </w:pPr>
            <w:r>
              <w:rPr>
                <w:rFonts w:ascii="Arial" w:eastAsia="Times New Roman" w:hAnsi="Arial" w:cs="Arial"/>
                <w:sz w:val="16"/>
                <w:szCs w:val="16"/>
              </w:rPr>
              <w:t>2.013.439,62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55C3C" w14:textId="77777777" w:rsidR="00FE0C5A" w:rsidRDefault="000C18DB" w:rsidP="00F113BD">
            <w:pPr>
              <w:spacing w:after="0"/>
              <w:jc w:val="right"/>
              <w:rPr>
                <w:rFonts w:eastAsia="Times New Roman"/>
              </w:rPr>
            </w:pPr>
            <w:r>
              <w:rPr>
                <w:rFonts w:ascii="Arial" w:eastAsia="Times New Roman" w:hAnsi="Arial" w:cs="Arial"/>
                <w:sz w:val="16"/>
                <w:szCs w:val="16"/>
              </w:rPr>
              <w:t>2.353.037,68</w:t>
            </w:r>
          </w:p>
        </w:tc>
      </w:tr>
      <w:tr w:rsidR="00FE0C5A" w14:paraId="50D4B1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2DBF54" w14:textId="77777777" w:rsidR="00FE0C5A" w:rsidRDefault="000C18DB" w:rsidP="00F113BD">
            <w:pPr>
              <w:spacing w:after="0"/>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1CCD7" w14:textId="77777777" w:rsidR="00FE0C5A" w:rsidRDefault="000C18DB" w:rsidP="00F113BD">
            <w:pPr>
              <w:spacing w:after="0"/>
              <w:jc w:val="right"/>
              <w:rPr>
                <w:rFonts w:eastAsia="Times New Roman"/>
              </w:rPr>
            </w:pPr>
            <w:r>
              <w:rPr>
                <w:rFonts w:ascii="Arial" w:eastAsia="Times New Roman" w:hAnsi="Arial" w:cs="Arial"/>
                <w:sz w:val="16"/>
                <w:szCs w:val="16"/>
              </w:rPr>
              <w:t>142.488.001,46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C06FB" w14:textId="77777777" w:rsidR="00FE0C5A" w:rsidRDefault="000C18DB" w:rsidP="00F113BD">
            <w:pPr>
              <w:spacing w:after="0"/>
              <w:jc w:val="right"/>
              <w:rPr>
                <w:rFonts w:eastAsia="Times New Roman"/>
              </w:rPr>
            </w:pPr>
            <w:r>
              <w:rPr>
                <w:rFonts w:ascii="Arial" w:eastAsia="Times New Roman" w:hAnsi="Arial" w:cs="Arial"/>
                <w:sz w:val="16"/>
                <w:szCs w:val="16"/>
              </w:rPr>
              <w:t>98.596.730,75</w:t>
            </w:r>
          </w:p>
        </w:tc>
      </w:tr>
      <w:tr w:rsidR="00FE0C5A" w14:paraId="4D844E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B732BE"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247E4" w14:textId="77777777" w:rsidR="00FE0C5A" w:rsidRDefault="000C18DB" w:rsidP="00F113BD">
            <w:pPr>
              <w:spacing w:after="0"/>
              <w:jc w:val="right"/>
              <w:rPr>
                <w:rFonts w:eastAsia="Times New Roman"/>
              </w:rPr>
            </w:pPr>
            <w:r>
              <w:rPr>
                <w:rFonts w:ascii="Arial" w:eastAsia="Times New Roman" w:hAnsi="Arial" w:cs="Arial"/>
                <w:b/>
                <w:bCs/>
                <w:sz w:val="16"/>
                <w:szCs w:val="16"/>
              </w:rPr>
              <w:t>144.501.441,08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CB765" w14:textId="77777777" w:rsidR="00FE0C5A" w:rsidRDefault="000C18DB" w:rsidP="00F113BD">
            <w:pPr>
              <w:spacing w:after="0"/>
              <w:jc w:val="right"/>
              <w:rPr>
                <w:rFonts w:eastAsia="Times New Roman"/>
              </w:rPr>
            </w:pPr>
            <w:r>
              <w:rPr>
                <w:rFonts w:ascii="Arial" w:eastAsia="Times New Roman" w:hAnsi="Arial" w:cs="Arial"/>
                <w:b/>
                <w:bCs/>
                <w:sz w:val="16"/>
                <w:szCs w:val="16"/>
              </w:rPr>
              <w:t>100.949.768,43</w:t>
            </w:r>
          </w:p>
        </w:tc>
      </w:tr>
    </w:tbl>
    <w:p w14:paraId="11A6603F" w14:textId="77777777" w:rsidR="00FE0C5A" w:rsidRDefault="000C18DB">
      <w:pPr>
        <w:pStyle w:val="NormalWeb"/>
        <w:jc w:val="both"/>
      </w:pPr>
      <w:r>
        <w:rPr>
          <w:rFonts w:ascii="Arial" w:hAnsi="Arial" w:cs="Arial"/>
          <w:sz w:val="20"/>
          <w:szCs w:val="20"/>
        </w:rPr>
        <w:t xml:space="preserve">(a) Referem-se à centralização financeira das disponibilidades líquidas da Cooperativa, depositadas junto ao SICOOB CENTRAL </w:t>
      </w:r>
      <w:r>
        <w:rPr>
          <w:rFonts w:ascii="Arial" w:hAnsi="Arial" w:cs="Arial"/>
          <w:sz w:val="20"/>
          <w:szCs w:val="20"/>
        </w:rPr>
        <w:t>CREDIMINAS como determinado no art. 17, da Resolução CMN nº 4.434/2015, cujos rendimentos auferidos nos períodos de 31 de dezembro de 2023 e de 2022,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4967"/>
        <w:gridCol w:w="1575"/>
        <w:gridCol w:w="1723"/>
        <w:gridCol w:w="1723"/>
      </w:tblGrid>
      <w:tr w:rsidR="00FE0C5A" w14:paraId="5651D0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C712C0"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71CA1"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0DE7"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C2059"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277B09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B77924" w14:textId="77777777" w:rsidR="00FE0C5A" w:rsidRDefault="000C18DB" w:rsidP="00F113BD">
            <w:pPr>
              <w:spacing w:after="0"/>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F22FB" w14:textId="77777777" w:rsidR="00FE0C5A" w:rsidRDefault="000C18DB" w:rsidP="00F113BD">
            <w:pPr>
              <w:spacing w:after="0"/>
              <w:jc w:val="right"/>
              <w:rPr>
                <w:rFonts w:eastAsia="Times New Roman"/>
              </w:rPr>
            </w:pPr>
            <w:r>
              <w:rPr>
                <w:rFonts w:ascii="Arial" w:eastAsia="Times New Roman" w:hAnsi="Arial" w:cs="Arial"/>
                <w:sz w:val="16"/>
                <w:szCs w:val="16"/>
              </w:rPr>
              <w:t>8.436.134,72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DED46" w14:textId="77777777" w:rsidR="00FE0C5A" w:rsidRDefault="000C18DB" w:rsidP="00F113BD">
            <w:pPr>
              <w:spacing w:after="0"/>
              <w:jc w:val="right"/>
              <w:rPr>
                <w:rFonts w:eastAsia="Times New Roman"/>
              </w:rPr>
            </w:pPr>
            <w:r>
              <w:rPr>
                <w:rFonts w:ascii="Arial" w:eastAsia="Times New Roman" w:hAnsi="Arial" w:cs="Arial"/>
                <w:sz w:val="16"/>
                <w:szCs w:val="16"/>
              </w:rPr>
              <w:t>14.952.864,74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45418" w14:textId="77777777" w:rsidR="00FE0C5A" w:rsidRDefault="000C18DB" w:rsidP="00F113BD">
            <w:pPr>
              <w:spacing w:after="0"/>
              <w:jc w:val="right"/>
              <w:rPr>
                <w:rFonts w:eastAsia="Times New Roman"/>
              </w:rPr>
            </w:pPr>
            <w:r>
              <w:rPr>
                <w:rFonts w:ascii="Arial" w:eastAsia="Times New Roman" w:hAnsi="Arial" w:cs="Arial"/>
                <w:sz w:val="16"/>
                <w:szCs w:val="16"/>
              </w:rPr>
              <w:t>12.887.222,67</w:t>
            </w:r>
          </w:p>
        </w:tc>
      </w:tr>
    </w:tbl>
    <w:p w14:paraId="7C2288B4" w14:textId="77777777" w:rsidR="00FE0C5A" w:rsidRDefault="000C18DB">
      <w:pPr>
        <w:pStyle w:val="NormalWeb"/>
        <w:jc w:val="both"/>
      </w:pPr>
      <w:r>
        <w:rPr>
          <w:rFonts w:ascii="Arial" w:hAnsi="Arial" w:cs="Arial"/>
          <w:b/>
          <w:bCs/>
          <w:sz w:val="20"/>
          <w:szCs w:val="20"/>
        </w:rPr>
        <w:t>5. Aplicações Interfinanceiras de Liquidez</w:t>
      </w:r>
    </w:p>
    <w:p w14:paraId="53E36749" w14:textId="77777777" w:rsidR="00FE0C5A" w:rsidRDefault="000C18DB">
      <w:pPr>
        <w:pStyle w:val="NormalWeb"/>
        <w:jc w:val="both"/>
      </w:pPr>
      <w:r>
        <w:rPr>
          <w:rFonts w:ascii="Arial" w:hAnsi="Arial" w:cs="Arial"/>
          <w:sz w:val="20"/>
          <w:szCs w:val="20"/>
        </w:rPr>
        <w:t xml:space="preserve">Em 31 de dezembro de 2023 e 2022, as aplicações interfinanceiras de liquidez </w:t>
      </w:r>
      <w:r>
        <w:rPr>
          <w:rFonts w:ascii="Arial" w:hAnsi="Arial" w:cs="Arial"/>
          <w:sz w:val="20"/>
          <w:szCs w:val="20"/>
        </w:rPr>
        <w:t>estavam assim compostas:</w:t>
      </w:r>
    </w:p>
    <w:tbl>
      <w:tblPr>
        <w:tblW w:w="5000" w:type="pct"/>
        <w:tblCellMar>
          <w:left w:w="0" w:type="dxa"/>
          <w:right w:w="0" w:type="dxa"/>
        </w:tblCellMar>
        <w:tblLook w:val="04A0" w:firstRow="1" w:lastRow="0" w:firstColumn="1" w:lastColumn="0" w:noHBand="0" w:noVBand="1"/>
      </w:tblPr>
      <w:tblGrid>
        <w:gridCol w:w="1134"/>
        <w:gridCol w:w="1381"/>
        <w:gridCol w:w="1665"/>
        <w:gridCol w:w="1381"/>
        <w:gridCol w:w="1381"/>
        <w:gridCol w:w="1665"/>
        <w:gridCol w:w="1381"/>
      </w:tblGrid>
      <w:tr w:rsidR="00FE0C5A" w14:paraId="5347640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FE4C23" w14:textId="77777777" w:rsidR="00FE0C5A" w:rsidRDefault="000C18DB" w:rsidP="00F113BD">
            <w:pPr>
              <w:spacing w:after="0"/>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BBB4C8"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131CDF"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01B9B3E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4D5A2FB"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A5EBC"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12D56"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50A51"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9A99A"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C7388"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8E22C"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46B342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37E136" w14:textId="77777777" w:rsidR="00FE0C5A" w:rsidRDefault="000C18DB" w:rsidP="00F113BD">
            <w:pPr>
              <w:spacing w:after="0"/>
              <w:rPr>
                <w:rFonts w:eastAsia="Times New Roman"/>
              </w:rPr>
            </w:pPr>
            <w:r>
              <w:rPr>
                <w:rFonts w:ascii="Arial" w:eastAsia="Times New Roman" w:hAnsi="Arial" w:cs="Arial"/>
                <w:sz w:val="16"/>
                <w:szCs w:val="16"/>
              </w:rPr>
              <w:t>Ligadas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7C038" w14:textId="77777777" w:rsidR="00FE0C5A" w:rsidRDefault="000C18DB" w:rsidP="00F113BD">
            <w:pPr>
              <w:spacing w:after="0"/>
              <w:jc w:val="right"/>
              <w:rPr>
                <w:rFonts w:eastAsia="Times New Roman"/>
              </w:rPr>
            </w:pPr>
            <w:r>
              <w:rPr>
                <w:rFonts w:ascii="Arial" w:eastAsia="Times New Roman" w:hAnsi="Arial" w:cs="Arial"/>
                <w:sz w:val="16"/>
                <w:szCs w:val="16"/>
              </w:rPr>
              <w:t>2.779.196,09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5E88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6681F" w14:textId="77777777" w:rsidR="00FE0C5A" w:rsidRDefault="000C18DB" w:rsidP="00F113BD">
            <w:pPr>
              <w:spacing w:after="0"/>
              <w:jc w:val="right"/>
              <w:rPr>
                <w:rFonts w:eastAsia="Times New Roman"/>
              </w:rPr>
            </w:pPr>
            <w:r>
              <w:rPr>
                <w:rFonts w:ascii="Arial" w:eastAsia="Times New Roman" w:hAnsi="Arial" w:cs="Arial"/>
                <w:sz w:val="16"/>
                <w:szCs w:val="16"/>
              </w:rPr>
              <w:t>2.779.196,09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54860" w14:textId="77777777" w:rsidR="00FE0C5A" w:rsidRDefault="000C18DB" w:rsidP="00F113BD">
            <w:pPr>
              <w:spacing w:after="0"/>
              <w:jc w:val="right"/>
              <w:rPr>
                <w:rFonts w:eastAsia="Times New Roman"/>
              </w:rPr>
            </w:pPr>
            <w:r>
              <w:rPr>
                <w:rFonts w:ascii="Arial" w:eastAsia="Times New Roman" w:hAnsi="Arial" w:cs="Arial"/>
                <w:sz w:val="16"/>
                <w:szCs w:val="16"/>
              </w:rPr>
              <w:t>6.556.235,75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65FE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A9A6E" w14:textId="77777777" w:rsidR="00FE0C5A" w:rsidRDefault="000C18DB" w:rsidP="00F113BD">
            <w:pPr>
              <w:spacing w:after="0"/>
              <w:jc w:val="right"/>
              <w:rPr>
                <w:rFonts w:eastAsia="Times New Roman"/>
              </w:rPr>
            </w:pPr>
            <w:r>
              <w:rPr>
                <w:rFonts w:ascii="Arial" w:eastAsia="Times New Roman" w:hAnsi="Arial" w:cs="Arial"/>
                <w:sz w:val="16"/>
                <w:szCs w:val="16"/>
              </w:rPr>
              <w:t>6.556.235,75</w:t>
            </w:r>
          </w:p>
        </w:tc>
      </w:tr>
      <w:tr w:rsidR="00FE0C5A" w14:paraId="493E0E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0D1E32"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C517D" w14:textId="77777777" w:rsidR="00FE0C5A" w:rsidRDefault="000C18DB" w:rsidP="00F113BD">
            <w:pPr>
              <w:spacing w:after="0"/>
              <w:jc w:val="right"/>
              <w:rPr>
                <w:rFonts w:eastAsia="Times New Roman"/>
              </w:rPr>
            </w:pPr>
            <w:r>
              <w:rPr>
                <w:rFonts w:ascii="Arial" w:eastAsia="Times New Roman" w:hAnsi="Arial" w:cs="Arial"/>
                <w:b/>
                <w:bCs/>
                <w:sz w:val="16"/>
                <w:szCs w:val="16"/>
              </w:rPr>
              <w:t>2.779.196,09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EDC69"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A843B" w14:textId="77777777" w:rsidR="00FE0C5A" w:rsidRDefault="000C18DB" w:rsidP="00F113BD">
            <w:pPr>
              <w:spacing w:after="0"/>
              <w:jc w:val="right"/>
              <w:rPr>
                <w:rFonts w:eastAsia="Times New Roman"/>
              </w:rPr>
            </w:pPr>
            <w:r>
              <w:rPr>
                <w:rFonts w:ascii="Arial" w:eastAsia="Times New Roman" w:hAnsi="Arial" w:cs="Arial"/>
                <w:b/>
                <w:bCs/>
                <w:sz w:val="16"/>
                <w:szCs w:val="16"/>
              </w:rPr>
              <w:t>2.779.196,09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FAE58" w14:textId="77777777" w:rsidR="00FE0C5A" w:rsidRDefault="000C18DB" w:rsidP="00F113BD">
            <w:pPr>
              <w:spacing w:after="0"/>
              <w:jc w:val="right"/>
              <w:rPr>
                <w:rFonts w:eastAsia="Times New Roman"/>
              </w:rPr>
            </w:pPr>
            <w:r>
              <w:rPr>
                <w:rFonts w:ascii="Arial" w:eastAsia="Times New Roman" w:hAnsi="Arial" w:cs="Arial"/>
                <w:b/>
                <w:bCs/>
                <w:sz w:val="16"/>
                <w:szCs w:val="16"/>
              </w:rPr>
              <w:t>6.556.235,75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01074"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40B9B" w14:textId="77777777" w:rsidR="00FE0C5A" w:rsidRDefault="000C18DB" w:rsidP="00F113BD">
            <w:pPr>
              <w:spacing w:after="0"/>
              <w:jc w:val="right"/>
              <w:rPr>
                <w:rFonts w:eastAsia="Times New Roman"/>
              </w:rPr>
            </w:pPr>
            <w:r>
              <w:rPr>
                <w:rFonts w:ascii="Arial" w:eastAsia="Times New Roman" w:hAnsi="Arial" w:cs="Arial"/>
                <w:b/>
                <w:bCs/>
                <w:sz w:val="16"/>
                <w:szCs w:val="16"/>
              </w:rPr>
              <w:t>6.556.235,75</w:t>
            </w:r>
          </w:p>
        </w:tc>
      </w:tr>
    </w:tbl>
    <w:p w14:paraId="7E00FE7C" w14:textId="208C1C8F" w:rsidR="00FE0C5A" w:rsidRDefault="00B34EBB">
      <w:pPr>
        <w:pStyle w:val="NormalWeb"/>
        <w:jc w:val="both"/>
      </w:pPr>
      <w:r w:rsidRPr="00B34EBB">
        <w:rPr>
          <w:rFonts w:ascii="Arial" w:hAnsi="Arial" w:cs="Arial"/>
          <w:sz w:val="20"/>
          <w:szCs w:val="20"/>
        </w:rPr>
        <w:t>(a) Referem-se às aplicações em Certificados de Depósitos Interbancários - CDI no Banco Sicoob com remuneração média de 100% do CDI.</w:t>
      </w:r>
    </w:p>
    <w:p w14:paraId="2705E44A" w14:textId="77777777" w:rsidR="00FE0C5A" w:rsidRDefault="000C18DB">
      <w:pPr>
        <w:pStyle w:val="NormalWeb"/>
        <w:jc w:val="both"/>
      </w:pPr>
      <w:r>
        <w:rPr>
          <w:rFonts w:ascii="Arial" w:hAnsi="Arial" w:cs="Arial"/>
          <w:sz w:val="20"/>
          <w:szCs w:val="20"/>
        </w:rPr>
        <w:t>Os rendimentos auferidos com aplicações interfinanceiras de liquidez, nos períodos findos em 31 de dezembro de 2023 e 2022, registrados em contrapartida à receita de “Rendas de Aplicações Interfinanceiras de Liquidez”, foram, respectivamente:</w:t>
      </w:r>
    </w:p>
    <w:tbl>
      <w:tblPr>
        <w:tblW w:w="5000" w:type="pct"/>
        <w:tblCellMar>
          <w:left w:w="0" w:type="dxa"/>
          <w:right w:w="0" w:type="dxa"/>
        </w:tblCellMar>
        <w:tblLook w:val="04A0" w:firstRow="1" w:lastRow="0" w:firstColumn="1" w:lastColumn="0" w:noHBand="0" w:noVBand="1"/>
      </w:tblPr>
      <w:tblGrid>
        <w:gridCol w:w="5944"/>
        <w:gridCol w:w="1348"/>
        <w:gridCol w:w="1348"/>
        <w:gridCol w:w="1348"/>
      </w:tblGrid>
      <w:tr w:rsidR="00FE0C5A" w14:paraId="385D01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13A541"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77533"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7DD0C"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8060C"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5E4B9A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192BA4" w14:textId="77777777" w:rsidR="00FE0C5A" w:rsidRDefault="000C18DB" w:rsidP="00F113BD">
            <w:pPr>
              <w:spacing w:after="0"/>
              <w:rPr>
                <w:rFonts w:eastAsia="Times New Roman"/>
              </w:rPr>
            </w:pPr>
            <w:r>
              <w:rPr>
                <w:rFonts w:ascii="Arial" w:eastAsia="Times New Roman" w:hAnsi="Arial" w:cs="Arial"/>
                <w:sz w:val="16"/>
                <w:szCs w:val="16"/>
              </w:rPr>
              <w:t>Rendas de 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C2D4F" w14:textId="77777777" w:rsidR="00FE0C5A" w:rsidRDefault="000C18DB" w:rsidP="00F113BD">
            <w:pPr>
              <w:spacing w:after="0"/>
              <w:jc w:val="right"/>
              <w:rPr>
                <w:rFonts w:eastAsia="Times New Roman"/>
              </w:rPr>
            </w:pPr>
            <w:r>
              <w:rPr>
                <w:rFonts w:ascii="Arial" w:eastAsia="Times New Roman" w:hAnsi="Arial" w:cs="Arial"/>
                <w:sz w:val="16"/>
                <w:szCs w:val="16"/>
              </w:rPr>
              <w:t>356.768,52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31DC6" w14:textId="77777777" w:rsidR="00FE0C5A" w:rsidRDefault="000C18DB" w:rsidP="00F113BD">
            <w:pPr>
              <w:spacing w:after="0"/>
              <w:jc w:val="right"/>
              <w:rPr>
                <w:rFonts w:eastAsia="Times New Roman"/>
              </w:rPr>
            </w:pPr>
            <w:r>
              <w:rPr>
                <w:rFonts w:ascii="Arial" w:eastAsia="Times New Roman" w:hAnsi="Arial" w:cs="Arial"/>
                <w:sz w:val="16"/>
                <w:szCs w:val="16"/>
              </w:rPr>
              <w:t>778.910,46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9E1E3" w14:textId="77777777" w:rsidR="00FE0C5A" w:rsidRDefault="000C18DB" w:rsidP="00F113BD">
            <w:pPr>
              <w:spacing w:after="0"/>
              <w:jc w:val="right"/>
              <w:rPr>
                <w:rFonts w:eastAsia="Times New Roman"/>
              </w:rPr>
            </w:pPr>
            <w:r>
              <w:rPr>
                <w:rFonts w:ascii="Arial" w:eastAsia="Times New Roman" w:hAnsi="Arial" w:cs="Arial"/>
                <w:sz w:val="16"/>
                <w:szCs w:val="16"/>
              </w:rPr>
              <w:t>175.759,40</w:t>
            </w:r>
          </w:p>
        </w:tc>
      </w:tr>
    </w:tbl>
    <w:p w14:paraId="274B3C4A" w14:textId="77777777" w:rsidR="00FE0C5A" w:rsidRDefault="000C18DB">
      <w:pPr>
        <w:pStyle w:val="NormalWeb"/>
        <w:jc w:val="both"/>
      </w:pPr>
      <w:r>
        <w:rPr>
          <w:rFonts w:ascii="Arial" w:hAnsi="Arial" w:cs="Arial"/>
          <w:b/>
          <w:bCs/>
          <w:sz w:val="20"/>
          <w:szCs w:val="20"/>
        </w:rPr>
        <w:t>6. Títulos e Valores Mobiliários</w:t>
      </w:r>
    </w:p>
    <w:p w14:paraId="0C54AEF0" w14:textId="77777777" w:rsidR="00FE0C5A" w:rsidRDefault="000C18DB">
      <w:pPr>
        <w:pStyle w:val="NormalWeb"/>
        <w:jc w:val="both"/>
      </w:pPr>
      <w:r>
        <w:rPr>
          <w:rFonts w:ascii="Arial" w:hAnsi="Arial" w:cs="Arial"/>
          <w:sz w:val="20"/>
          <w:szCs w:val="20"/>
        </w:rPr>
        <w:t>Em 31 de dezembro de 2023 e 2022, títulos e valores mobiliários estão assim compostos:</w:t>
      </w:r>
    </w:p>
    <w:tbl>
      <w:tblPr>
        <w:tblW w:w="5000" w:type="pct"/>
        <w:tblCellMar>
          <w:left w:w="0" w:type="dxa"/>
          <w:right w:w="0" w:type="dxa"/>
        </w:tblCellMar>
        <w:tblLook w:val="04A0" w:firstRow="1" w:lastRow="0" w:firstColumn="1" w:lastColumn="0" w:noHBand="0" w:noVBand="1"/>
      </w:tblPr>
      <w:tblGrid>
        <w:gridCol w:w="4073"/>
        <w:gridCol w:w="1039"/>
        <w:gridCol w:w="1074"/>
        <w:gridCol w:w="1039"/>
        <w:gridCol w:w="798"/>
        <w:gridCol w:w="1015"/>
        <w:gridCol w:w="950"/>
      </w:tblGrid>
      <w:tr w:rsidR="00FE0C5A" w14:paraId="517604D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C7EEAD"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1C333F"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E6CDE8"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5F0D704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7A4717D"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A2A9E4"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C75BC"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D61F9"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45B89"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85495"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1D2B5"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EB357C" w14:paraId="6D60A9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9822E4" w14:textId="33657710" w:rsidR="00EB357C" w:rsidRDefault="00EB357C" w:rsidP="00EB357C">
            <w:pPr>
              <w:spacing w:after="0"/>
              <w:rPr>
                <w:rFonts w:eastAsia="Times New Roman"/>
              </w:rPr>
            </w:pPr>
            <w:r>
              <w:rPr>
                <w:rFonts w:ascii="Arial" w:eastAsia="Times New Roman" w:hAnsi="Arial" w:cs="Arial"/>
                <w:sz w:val="16"/>
                <w:szCs w:val="16"/>
              </w:rPr>
              <w:t>Participação em Cooperativa Central de Crédito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F3DEC" w14:textId="77777777" w:rsidR="00EB357C" w:rsidRDefault="00EB357C" w:rsidP="00EB357C">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77050" w14:textId="77777777" w:rsidR="00EB357C" w:rsidRDefault="00EB357C" w:rsidP="00EB357C">
            <w:pPr>
              <w:spacing w:after="0"/>
              <w:jc w:val="right"/>
              <w:rPr>
                <w:rFonts w:eastAsia="Times New Roman"/>
              </w:rPr>
            </w:pPr>
            <w:r>
              <w:rPr>
                <w:rFonts w:ascii="Arial" w:eastAsia="Times New Roman" w:hAnsi="Arial" w:cs="Arial"/>
                <w:sz w:val="16"/>
                <w:szCs w:val="16"/>
              </w:rPr>
              <w:t>9.935.248,66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C5DEB" w14:textId="77777777" w:rsidR="00EB357C" w:rsidRDefault="00EB357C" w:rsidP="00EB357C">
            <w:pPr>
              <w:spacing w:after="0"/>
              <w:jc w:val="right"/>
              <w:rPr>
                <w:rFonts w:eastAsia="Times New Roman"/>
              </w:rPr>
            </w:pPr>
            <w:r>
              <w:rPr>
                <w:rFonts w:ascii="Arial" w:eastAsia="Times New Roman" w:hAnsi="Arial" w:cs="Arial"/>
                <w:sz w:val="16"/>
                <w:szCs w:val="16"/>
              </w:rPr>
              <w:t>9.935.248,66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BC455" w14:textId="3084A289" w:rsidR="00EB357C" w:rsidRDefault="00EB357C" w:rsidP="00EB357C">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7CC8D" w14:textId="5AFF57C2" w:rsidR="00EB357C" w:rsidRDefault="00EB357C" w:rsidP="00EB357C">
            <w:pPr>
              <w:spacing w:after="0"/>
              <w:jc w:val="center"/>
              <w:rPr>
                <w:rFonts w:eastAsia="Times New Roman"/>
              </w:rPr>
            </w:pPr>
            <w:r>
              <w:rPr>
                <w:rFonts w:ascii="Arial" w:eastAsia="Times New Roman" w:hAnsi="Arial" w:cs="Arial"/>
                <w:sz w:val="16"/>
                <w:szCs w:val="16"/>
              </w:rPr>
              <w:t>7.165.367,13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F1C62" w14:textId="77777777" w:rsidR="00EB357C" w:rsidRDefault="00EB357C" w:rsidP="00EB357C">
            <w:pPr>
              <w:spacing w:after="0"/>
              <w:jc w:val="right"/>
              <w:rPr>
                <w:rFonts w:eastAsia="Times New Roman"/>
              </w:rPr>
            </w:pPr>
            <w:r>
              <w:rPr>
                <w:rFonts w:ascii="Arial" w:eastAsia="Times New Roman" w:hAnsi="Arial" w:cs="Arial"/>
                <w:sz w:val="16"/>
                <w:szCs w:val="16"/>
              </w:rPr>
              <w:t>7.165.367,13</w:t>
            </w:r>
          </w:p>
        </w:tc>
      </w:tr>
      <w:tr w:rsidR="00EB357C" w14:paraId="2973CD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4BD6AD" w14:textId="3A46FA63" w:rsidR="00EB357C" w:rsidRDefault="00EB357C" w:rsidP="00EB357C">
            <w:pPr>
              <w:spacing w:after="0"/>
              <w:rPr>
                <w:rFonts w:eastAsia="Times New Roman"/>
              </w:rPr>
            </w:pPr>
            <w:r>
              <w:rPr>
                <w:rFonts w:ascii="Arial" w:eastAsia="Times New Roman" w:hAnsi="Arial" w:cs="Arial"/>
                <w:sz w:val="16"/>
                <w:szCs w:val="16"/>
              </w:rPr>
              <w:t>Participação em Instituição Financeira Controlada Por Cooperativa de Crédito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76D4F" w14:textId="77777777" w:rsidR="00EB357C" w:rsidRDefault="00EB357C" w:rsidP="00EB357C">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94DF5" w14:textId="77777777" w:rsidR="00EB357C" w:rsidRDefault="00EB357C" w:rsidP="00EB357C">
            <w:pPr>
              <w:spacing w:after="0"/>
              <w:jc w:val="right"/>
              <w:rPr>
                <w:rFonts w:eastAsia="Times New Roman"/>
              </w:rPr>
            </w:pPr>
            <w:r>
              <w:rPr>
                <w:rFonts w:ascii="Arial" w:eastAsia="Times New Roman" w:hAnsi="Arial" w:cs="Arial"/>
                <w:sz w:val="16"/>
                <w:szCs w:val="16"/>
              </w:rPr>
              <w:t>45.931,00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09D2D" w14:textId="77777777" w:rsidR="00EB357C" w:rsidRDefault="00EB357C" w:rsidP="00EB357C">
            <w:pPr>
              <w:spacing w:after="0"/>
              <w:jc w:val="right"/>
              <w:rPr>
                <w:rFonts w:eastAsia="Times New Roman"/>
              </w:rPr>
            </w:pPr>
            <w:r>
              <w:rPr>
                <w:rFonts w:ascii="Arial" w:eastAsia="Times New Roman" w:hAnsi="Arial" w:cs="Arial"/>
                <w:sz w:val="16"/>
                <w:szCs w:val="16"/>
              </w:rPr>
              <w:t>45.931,00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A93C6" w14:textId="28DFEDFC" w:rsidR="00EB357C" w:rsidRDefault="00EB357C" w:rsidP="00EB357C">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3F742" w14:textId="12794FEF" w:rsidR="00EB357C" w:rsidRDefault="00EB357C" w:rsidP="00EB357C">
            <w:pPr>
              <w:spacing w:after="0"/>
              <w:jc w:val="center"/>
              <w:rPr>
                <w:rFonts w:eastAsia="Times New Roman"/>
              </w:rPr>
            </w:pPr>
            <w:r>
              <w:rPr>
                <w:rFonts w:ascii="Arial" w:eastAsia="Times New Roman" w:hAnsi="Arial" w:cs="Arial"/>
                <w:sz w:val="16"/>
                <w:szCs w:val="16"/>
              </w:rPr>
              <w:t>45.931,00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18121" w14:textId="77777777" w:rsidR="00EB357C" w:rsidRDefault="00EB357C" w:rsidP="00EB357C">
            <w:pPr>
              <w:spacing w:after="0"/>
              <w:jc w:val="right"/>
              <w:rPr>
                <w:rFonts w:eastAsia="Times New Roman"/>
              </w:rPr>
            </w:pPr>
            <w:r>
              <w:rPr>
                <w:rFonts w:ascii="Arial" w:eastAsia="Times New Roman" w:hAnsi="Arial" w:cs="Arial"/>
                <w:sz w:val="16"/>
                <w:szCs w:val="16"/>
              </w:rPr>
              <w:t>45.931,00</w:t>
            </w:r>
          </w:p>
        </w:tc>
      </w:tr>
      <w:tr w:rsidR="00EB357C" w14:paraId="6DA12A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959FE9" w14:textId="5B586397" w:rsidR="00EB357C" w:rsidRDefault="00EB357C" w:rsidP="00EB357C">
            <w:pPr>
              <w:spacing w:after="0"/>
              <w:rPr>
                <w:rFonts w:eastAsia="Times New Roman"/>
              </w:rPr>
            </w:pPr>
            <w:r>
              <w:rPr>
                <w:rFonts w:ascii="Arial" w:eastAsia="Times New Roman" w:hAnsi="Arial" w:cs="Arial"/>
                <w:sz w:val="16"/>
                <w:szCs w:val="16"/>
              </w:rPr>
              <w:t>CPR-F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48610" w14:textId="77777777" w:rsidR="00EB357C" w:rsidRDefault="00EB357C" w:rsidP="00EB357C">
            <w:pPr>
              <w:spacing w:after="0"/>
              <w:jc w:val="right"/>
              <w:rPr>
                <w:rFonts w:eastAsia="Times New Roman"/>
              </w:rPr>
            </w:pPr>
            <w:r>
              <w:rPr>
                <w:rFonts w:ascii="Arial" w:eastAsia="Times New Roman" w:hAnsi="Arial" w:cs="Arial"/>
                <w:sz w:val="16"/>
                <w:szCs w:val="16"/>
              </w:rPr>
              <w:t>25.624.596,37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7D42D" w14:textId="77777777" w:rsidR="00EB357C" w:rsidRDefault="00EB357C" w:rsidP="00EB357C">
            <w:pPr>
              <w:spacing w:after="0"/>
              <w:jc w:val="right"/>
              <w:rPr>
                <w:rFonts w:eastAsia="Times New Roman"/>
              </w:rPr>
            </w:pPr>
            <w:r>
              <w:rPr>
                <w:rFonts w:ascii="Arial" w:eastAsia="Times New Roman" w:hAnsi="Arial" w:cs="Arial"/>
                <w:sz w:val="16"/>
                <w:szCs w:val="16"/>
              </w:rPr>
              <w:t>8.084.236,52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39D4F" w14:textId="77777777" w:rsidR="00EB357C" w:rsidRDefault="00EB357C" w:rsidP="00EB357C">
            <w:pPr>
              <w:spacing w:after="0"/>
              <w:jc w:val="right"/>
              <w:rPr>
                <w:rFonts w:eastAsia="Times New Roman"/>
              </w:rPr>
            </w:pPr>
            <w:r>
              <w:rPr>
                <w:rFonts w:ascii="Arial" w:eastAsia="Times New Roman" w:hAnsi="Arial" w:cs="Arial"/>
                <w:sz w:val="16"/>
                <w:szCs w:val="16"/>
              </w:rPr>
              <w:t>33.708.832,89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6CD2C" w14:textId="77777777" w:rsidR="00EB357C" w:rsidRDefault="00EB357C" w:rsidP="00EB357C">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9D2FF" w14:textId="341B5187" w:rsidR="00EB357C" w:rsidRDefault="00EB357C" w:rsidP="00EB357C">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05B73" w14:textId="77777777" w:rsidR="00EB357C" w:rsidRDefault="00EB357C" w:rsidP="00EB357C">
            <w:pPr>
              <w:spacing w:after="0"/>
              <w:jc w:val="center"/>
              <w:rPr>
                <w:rFonts w:eastAsia="Times New Roman"/>
              </w:rPr>
            </w:pPr>
            <w:r>
              <w:rPr>
                <w:rFonts w:ascii="Arial" w:eastAsia="Times New Roman" w:hAnsi="Arial" w:cs="Arial"/>
                <w:sz w:val="16"/>
                <w:szCs w:val="16"/>
              </w:rPr>
              <w:t>-</w:t>
            </w:r>
          </w:p>
        </w:tc>
      </w:tr>
      <w:tr w:rsidR="00EB357C" w14:paraId="57868E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E1093D" w14:textId="77777777" w:rsidR="00EB357C" w:rsidRDefault="00EB357C" w:rsidP="00EB357C">
            <w:pPr>
              <w:spacing w:after="0"/>
              <w:rPr>
                <w:rFonts w:eastAsia="Times New Roman"/>
              </w:rPr>
            </w:pPr>
            <w:r>
              <w:rPr>
                <w:rFonts w:ascii="Arial" w:eastAsia="Times New Roman" w:hAnsi="Arial" w:cs="Arial"/>
                <w:b/>
                <w:bCs/>
                <w:sz w:val="16"/>
                <w:szCs w:val="16"/>
              </w:rPr>
              <w:t>TOTAL DE PARTICIPAÇÕES DE COOPERATIVAS 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C62C6" w14:textId="77777777" w:rsidR="00EB357C" w:rsidRDefault="00EB357C" w:rsidP="00EB357C">
            <w:pPr>
              <w:spacing w:after="0"/>
              <w:jc w:val="right"/>
              <w:rPr>
                <w:rFonts w:eastAsia="Times New Roman"/>
              </w:rPr>
            </w:pPr>
            <w:r>
              <w:rPr>
                <w:rFonts w:ascii="Arial" w:eastAsia="Times New Roman" w:hAnsi="Arial" w:cs="Arial"/>
                <w:b/>
                <w:bCs/>
                <w:sz w:val="16"/>
                <w:szCs w:val="16"/>
              </w:rPr>
              <w:t>25.624.596,37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5F1D6" w14:textId="77777777" w:rsidR="00EB357C" w:rsidRDefault="00EB357C" w:rsidP="00EB357C">
            <w:pPr>
              <w:spacing w:after="0"/>
              <w:jc w:val="right"/>
              <w:rPr>
                <w:rFonts w:eastAsia="Times New Roman"/>
              </w:rPr>
            </w:pPr>
            <w:r>
              <w:rPr>
                <w:rFonts w:ascii="Arial" w:eastAsia="Times New Roman" w:hAnsi="Arial" w:cs="Arial"/>
                <w:b/>
                <w:bCs/>
                <w:sz w:val="16"/>
                <w:szCs w:val="16"/>
              </w:rPr>
              <w:t>18.065.416,18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B8983" w14:textId="77777777" w:rsidR="00EB357C" w:rsidRDefault="00EB357C" w:rsidP="00EB357C">
            <w:pPr>
              <w:spacing w:after="0"/>
              <w:jc w:val="right"/>
              <w:rPr>
                <w:rFonts w:eastAsia="Times New Roman"/>
              </w:rPr>
            </w:pPr>
            <w:r>
              <w:rPr>
                <w:rFonts w:ascii="Arial" w:eastAsia="Times New Roman" w:hAnsi="Arial" w:cs="Arial"/>
                <w:b/>
                <w:bCs/>
                <w:sz w:val="16"/>
                <w:szCs w:val="16"/>
              </w:rPr>
              <w:t>43.690.012,55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760A6" w14:textId="3974C9B8" w:rsidR="00EB357C" w:rsidRDefault="00EB357C" w:rsidP="00EB357C">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39619" w14:textId="6353624C" w:rsidR="00EB357C" w:rsidRDefault="00EB357C" w:rsidP="00EB357C">
            <w:pPr>
              <w:spacing w:after="0"/>
              <w:jc w:val="center"/>
              <w:rPr>
                <w:rFonts w:eastAsia="Times New Roman"/>
              </w:rPr>
            </w:pPr>
            <w:r>
              <w:rPr>
                <w:rFonts w:ascii="Arial" w:eastAsia="Times New Roman" w:hAnsi="Arial" w:cs="Arial"/>
                <w:b/>
                <w:bCs/>
                <w:sz w:val="16"/>
                <w:szCs w:val="16"/>
              </w:rPr>
              <w:t>7.211.298,13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21618" w14:textId="77777777" w:rsidR="00EB357C" w:rsidRDefault="00EB357C" w:rsidP="00EB357C">
            <w:pPr>
              <w:spacing w:after="0"/>
              <w:jc w:val="right"/>
              <w:rPr>
                <w:rFonts w:eastAsia="Times New Roman"/>
              </w:rPr>
            </w:pPr>
            <w:r>
              <w:rPr>
                <w:rFonts w:ascii="Arial" w:eastAsia="Times New Roman" w:hAnsi="Arial" w:cs="Arial"/>
                <w:b/>
                <w:bCs/>
                <w:sz w:val="16"/>
                <w:szCs w:val="16"/>
              </w:rPr>
              <w:t>7.211.298,13</w:t>
            </w:r>
          </w:p>
        </w:tc>
      </w:tr>
      <w:tr w:rsidR="00EB357C" w14:paraId="18F189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223B72" w14:textId="55E4A7C3" w:rsidR="00EB357C" w:rsidRDefault="00EB357C" w:rsidP="00EB357C">
            <w:pPr>
              <w:spacing w:after="0"/>
              <w:rPr>
                <w:rFonts w:eastAsia="Times New Roman"/>
              </w:rPr>
            </w:pPr>
            <w:r>
              <w:rPr>
                <w:rFonts w:ascii="Arial" w:eastAsia="Times New Roman" w:hAnsi="Arial" w:cs="Arial"/>
                <w:sz w:val="16"/>
                <w:szCs w:val="16"/>
              </w:rPr>
              <w:t>(-) Outros No País (c)</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F7BDA" w14:textId="77777777" w:rsidR="00EB357C" w:rsidRDefault="00EB357C" w:rsidP="00EB357C">
            <w:pPr>
              <w:spacing w:after="0"/>
              <w:jc w:val="right"/>
              <w:rPr>
                <w:rFonts w:eastAsia="Times New Roman"/>
              </w:rPr>
            </w:pPr>
            <w:r>
              <w:rPr>
                <w:rFonts w:ascii="Arial" w:eastAsia="Times New Roman" w:hAnsi="Arial" w:cs="Arial"/>
                <w:sz w:val="16"/>
                <w:szCs w:val="16"/>
              </w:rPr>
              <w:t>(205.292,00)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F2234" w14:textId="77777777" w:rsidR="00EB357C" w:rsidRDefault="00EB357C" w:rsidP="00EB357C">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FEDB8" w14:textId="77777777" w:rsidR="00EB357C" w:rsidRDefault="00EB357C" w:rsidP="00EB357C">
            <w:pPr>
              <w:spacing w:after="0"/>
              <w:jc w:val="right"/>
              <w:rPr>
                <w:rFonts w:eastAsia="Times New Roman"/>
              </w:rPr>
            </w:pPr>
            <w:r>
              <w:rPr>
                <w:rFonts w:ascii="Arial" w:eastAsia="Times New Roman" w:hAnsi="Arial" w:cs="Arial"/>
                <w:sz w:val="16"/>
                <w:szCs w:val="16"/>
              </w:rPr>
              <w:t>(205.292,00)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F9AF7" w14:textId="77777777" w:rsidR="00EB357C" w:rsidRDefault="00EB357C" w:rsidP="00EB357C">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8B784" w14:textId="3772B570" w:rsidR="00EB357C" w:rsidRDefault="00EB357C" w:rsidP="00EB357C">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52F3A" w14:textId="77777777" w:rsidR="00EB357C" w:rsidRDefault="00EB357C" w:rsidP="00EB357C">
            <w:pPr>
              <w:spacing w:after="0"/>
              <w:jc w:val="center"/>
              <w:rPr>
                <w:rFonts w:eastAsia="Times New Roman"/>
              </w:rPr>
            </w:pPr>
            <w:r>
              <w:rPr>
                <w:rFonts w:ascii="Arial" w:eastAsia="Times New Roman" w:hAnsi="Arial" w:cs="Arial"/>
                <w:sz w:val="16"/>
                <w:szCs w:val="16"/>
              </w:rPr>
              <w:t>-</w:t>
            </w:r>
          </w:p>
        </w:tc>
      </w:tr>
      <w:tr w:rsidR="00EB357C" w14:paraId="548640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38C85E" w14:textId="77777777" w:rsidR="00EB357C" w:rsidRDefault="00EB357C" w:rsidP="00EB357C">
            <w:pPr>
              <w:spacing w:after="0"/>
              <w:rPr>
                <w:rFonts w:eastAsia="Times New Roman"/>
              </w:rPr>
            </w:pPr>
            <w:r>
              <w:rPr>
                <w:rFonts w:ascii="Arial" w:eastAsia="Times New Roman" w:hAnsi="Arial" w:cs="Arial"/>
                <w:b/>
                <w:bCs/>
                <w:sz w:val="16"/>
                <w:szCs w:val="16"/>
              </w:rPr>
              <w:t>(-) PROVISÃO PARA DESVALORIZAÇÃO DE PARTICIPAÇÕES DE COOPERATIVAS 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B7571" w14:textId="77777777" w:rsidR="00EB357C" w:rsidRDefault="00EB357C" w:rsidP="00EB357C">
            <w:pPr>
              <w:spacing w:after="0"/>
              <w:jc w:val="right"/>
              <w:rPr>
                <w:rFonts w:eastAsia="Times New Roman"/>
              </w:rPr>
            </w:pPr>
            <w:r>
              <w:rPr>
                <w:rFonts w:ascii="Arial" w:eastAsia="Times New Roman" w:hAnsi="Arial" w:cs="Arial"/>
                <w:b/>
                <w:bCs/>
                <w:sz w:val="16"/>
                <w:szCs w:val="16"/>
              </w:rPr>
              <w:t>(205.292,00)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57234" w14:textId="77777777" w:rsidR="00EB357C" w:rsidRDefault="00EB357C" w:rsidP="00EB357C">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AFC00" w14:textId="77777777" w:rsidR="00EB357C" w:rsidRDefault="00EB357C" w:rsidP="00EB357C">
            <w:pPr>
              <w:spacing w:after="0"/>
              <w:jc w:val="right"/>
              <w:rPr>
                <w:rFonts w:eastAsia="Times New Roman"/>
              </w:rPr>
            </w:pPr>
            <w:r>
              <w:rPr>
                <w:rFonts w:ascii="Arial" w:eastAsia="Times New Roman" w:hAnsi="Arial" w:cs="Arial"/>
                <w:b/>
                <w:bCs/>
                <w:sz w:val="16"/>
                <w:szCs w:val="16"/>
              </w:rPr>
              <w:t>(205.292,00)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24DF0" w14:textId="44B8BAF6" w:rsidR="00EB357C" w:rsidRDefault="00EB357C" w:rsidP="00EB357C">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4C408" w14:textId="1FC456A8" w:rsidR="00EB357C" w:rsidRDefault="00EB357C" w:rsidP="00EB357C">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14A90" w14:textId="77777777" w:rsidR="00EB357C" w:rsidRDefault="00EB357C" w:rsidP="00EB357C">
            <w:pPr>
              <w:spacing w:after="0"/>
              <w:jc w:val="center"/>
              <w:rPr>
                <w:rFonts w:eastAsia="Times New Roman"/>
              </w:rPr>
            </w:pPr>
            <w:r>
              <w:rPr>
                <w:rFonts w:ascii="Arial" w:eastAsia="Times New Roman" w:hAnsi="Arial" w:cs="Arial"/>
                <w:b/>
                <w:bCs/>
                <w:sz w:val="16"/>
                <w:szCs w:val="16"/>
              </w:rPr>
              <w:t>-</w:t>
            </w:r>
          </w:p>
        </w:tc>
      </w:tr>
      <w:tr w:rsidR="00EB357C" w14:paraId="230AFC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569584" w14:textId="77777777" w:rsidR="00EB357C" w:rsidRDefault="00EB357C" w:rsidP="00EB357C">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2C1E5" w14:textId="77777777" w:rsidR="00EB357C" w:rsidRDefault="00EB357C" w:rsidP="00EB357C">
            <w:pPr>
              <w:spacing w:after="0"/>
              <w:jc w:val="right"/>
              <w:rPr>
                <w:rFonts w:eastAsia="Times New Roman"/>
              </w:rPr>
            </w:pPr>
            <w:r>
              <w:rPr>
                <w:rFonts w:ascii="Arial" w:eastAsia="Times New Roman" w:hAnsi="Arial" w:cs="Arial"/>
                <w:b/>
                <w:bCs/>
                <w:sz w:val="16"/>
                <w:szCs w:val="16"/>
              </w:rPr>
              <w:t>25.419.304,37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538F9" w14:textId="77777777" w:rsidR="00EB357C" w:rsidRDefault="00EB357C" w:rsidP="00EB357C">
            <w:pPr>
              <w:spacing w:after="0"/>
              <w:jc w:val="right"/>
              <w:rPr>
                <w:rFonts w:eastAsia="Times New Roman"/>
              </w:rPr>
            </w:pPr>
            <w:r>
              <w:rPr>
                <w:rFonts w:ascii="Arial" w:eastAsia="Times New Roman" w:hAnsi="Arial" w:cs="Arial"/>
                <w:b/>
                <w:bCs/>
                <w:sz w:val="16"/>
                <w:szCs w:val="16"/>
              </w:rPr>
              <w:t>18.065.416,18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76692" w14:textId="77777777" w:rsidR="00EB357C" w:rsidRDefault="00EB357C" w:rsidP="00EB357C">
            <w:pPr>
              <w:spacing w:after="0"/>
              <w:jc w:val="right"/>
              <w:rPr>
                <w:rFonts w:eastAsia="Times New Roman"/>
              </w:rPr>
            </w:pPr>
            <w:r>
              <w:rPr>
                <w:rFonts w:ascii="Arial" w:eastAsia="Times New Roman" w:hAnsi="Arial" w:cs="Arial"/>
                <w:b/>
                <w:bCs/>
                <w:sz w:val="16"/>
                <w:szCs w:val="16"/>
              </w:rPr>
              <w:t>43.484.720,55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6DF22" w14:textId="2C2FD8EE" w:rsidR="00EB357C" w:rsidRDefault="00EB357C" w:rsidP="00EB357C">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AEB00" w14:textId="269449B8" w:rsidR="00EB357C" w:rsidRDefault="00EB357C" w:rsidP="00EB357C">
            <w:pPr>
              <w:spacing w:after="0"/>
              <w:jc w:val="center"/>
              <w:rPr>
                <w:rFonts w:eastAsia="Times New Roman"/>
              </w:rPr>
            </w:pPr>
            <w:r>
              <w:rPr>
                <w:rFonts w:ascii="Arial" w:eastAsia="Times New Roman" w:hAnsi="Arial" w:cs="Arial"/>
                <w:b/>
                <w:bCs/>
                <w:sz w:val="16"/>
                <w:szCs w:val="16"/>
              </w:rPr>
              <w:t>7.211.298,13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63C0F" w14:textId="77777777" w:rsidR="00EB357C" w:rsidRDefault="00EB357C" w:rsidP="00EB357C">
            <w:pPr>
              <w:spacing w:after="0"/>
              <w:jc w:val="right"/>
              <w:rPr>
                <w:rFonts w:eastAsia="Times New Roman"/>
              </w:rPr>
            </w:pPr>
            <w:r>
              <w:rPr>
                <w:rFonts w:ascii="Arial" w:eastAsia="Times New Roman" w:hAnsi="Arial" w:cs="Arial"/>
                <w:b/>
                <w:bCs/>
                <w:sz w:val="16"/>
                <w:szCs w:val="16"/>
              </w:rPr>
              <w:t>7.211.298,13</w:t>
            </w:r>
          </w:p>
        </w:tc>
      </w:tr>
    </w:tbl>
    <w:p w14:paraId="390AC885" w14:textId="77777777" w:rsidR="00FE0C5A" w:rsidRDefault="000C18DB">
      <w:pPr>
        <w:pStyle w:val="NormalWeb"/>
        <w:jc w:val="both"/>
      </w:pPr>
      <w:r>
        <w:rPr>
          <w:rFonts w:ascii="Arial" w:hAnsi="Arial" w:cs="Arial"/>
          <w:sz w:val="20"/>
          <w:szCs w:val="20"/>
        </w:rPr>
        <w:t xml:space="preserve">(a) Referem-se a saldos de </w:t>
      </w:r>
      <w:r>
        <w:rPr>
          <w:rFonts w:ascii="Arial" w:hAnsi="Arial" w:cs="Arial"/>
          <w:sz w:val="20"/>
          <w:szCs w:val="20"/>
        </w:rPr>
        <w:t>participações de cooperativas em entidades avaliadas pelo custo de aquisição que compõe o saldo do grupo de Títulos e Valores Mobiliários (TVM), conforme estabelecido na Resolução CMN n° 4.817/2020 e na Instrução Normativa BCB nº 269 de 1/4/2022.</w:t>
      </w:r>
    </w:p>
    <w:p w14:paraId="6DBB642A" w14:textId="77777777" w:rsidR="00FE0C5A" w:rsidRDefault="000C18DB">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79146A0B" w14:textId="4BE930FA" w:rsidR="00FE0C5A" w:rsidRDefault="000C18DB">
      <w:pPr>
        <w:pStyle w:val="NormalWeb"/>
        <w:jc w:val="both"/>
      </w:pPr>
      <w:r>
        <w:rPr>
          <w:rFonts w:ascii="Arial" w:hAnsi="Arial" w:cs="Arial"/>
          <w:sz w:val="20"/>
          <w:szCs w:val="20"/>
        </w:rPr>
        <w:t>(</w:t>
      </w:r>
      <w:r w:rsidR="00B34EBB">
        <w:rPr>
          <w:rFonts w:ascii="Arial" w:hAnsi="Arial" w:cs="Arial"/>
          <w:sz w:val="20"/>
          <w:szCs w:val="20"/>
        </w:rPr>
        <w:t>b</w:t>
      </w:r>
      <w:r>
        <w:rPr>
          <w:rFonts w:ascii="Arial" w:hAnsi="Arial" w:cs="Arial"/>
          <w:sz w:val="20"/>
          <w:szCs w:val="20"/>
        </w:rPr>
        <w:t>) Referem-se às Cédulas de Produto Rural (CPR-F) liberadas aos Cooperados, conforme previsto pela Lei nº 8.929/1994.</w:t>
      </w:r>
    </w:p>
    <w:p w14:paraId="1F351D56" w14:textId="0885F18B" w:rsidR="00FE0C5A" w:rsidRDefault="000C18DB">
      <w:pPr>
        <w:pStyle w:val="NormalWeb"/>
        <w:jc w:val="both"/>
      </w:pPr>
      <w:r>
        <w:rPr>
          <w:rFonts w:ascii="Arial" w:hAnsi="Arial" w:cs="Arial"/>
          <w:sz w:val="20"/>
          <w:szCs w:val="20"/>
        </w:rPr>
        <w:t>(</w:t>
      </w:r>
      <w:r w:rsidR="00B34EBB">
        <w:rPr>
          <w:rFonts w:ascii="Arial" w:hAnsi="Arial" w:cs="Arial"/>
          <w:sz w:val="20"/>
          <w:szCs w:val="20"/>
        </w:rPr>
        <w:t>c</w:t>
      </w:r>
      <w:r>
        <w:rPr>
          <w:rFonts w:ascii="Arial" w:hAnsi="Arial" w:cs="Arial"/>
          <w:sz w:val="20"/>
          <w:szCs w:val="20"/>
        </w:rPr>
        <w:t>) Referem-se aos valores destinados à formação de provisão referente a desvalorizações de títulos e valores mobiliários das CPRs.</w:t>
      </w:r>
    </w:p>
    <w:p w14:paraId="53B33F56" w14:textId="77777777" w:rsidR="00FE0C5A" w:rsidRDefault="000C18DB">
      <w:pPr>
        <w:pStyle w:val="NormalWeb"/>
        <w:jc w:val="both"/>
      </w:pPr>
      <w:r>
        <w:rPr>
          <w:rFonts w:ascii="Arial" w:hAnsi="Arial" w:cs="Arial"/>
          <w:sz w:val="20"/>
          <w:szCs w:val="20"/>
        </w:rPr>
        <w:t>Os rendimentos auferidos com Títulos e Valores Mobiliários nos períodos findos em 31 de dezembro de 2023 e 2022, registrados em contrapartida à receita de “Rendas de Títulos de Renda Fixa”, foram, respectivamente:</w:t>
      </w:r>
    </w:p>
    <w:tbl>
      <w:tblPr>
        <w:tblW w:w="5000" w:type="pct"/>
        <w:tblCellMar>
          <w:left w:w="0" w:type="dxa"/>
          <w:right w:w="0" w:type="dxa"/>
        </w:tblCellMar>
        <w:tblLook w:val="04A0" w:firstRow="1" w:lastRow="0" w:firstColumn="1" w:lastColumn="0" w:noHBand="0" w:noVBand="1"/>
      </w:tblPr>
      <w:tblGrid>
        <w:gridCol w:w="4816"/>
        <w:gridCol w:w="1809"/>
        <w:gridCol w:w="1809"/>
        <w:gridCol w:w="1554"/>
      </w:tblGrid>
      <w:tr w:rsidR="00FE0C5A" w14:paraId="051DBC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91B0F1"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DDA34"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8CFC4"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741A3"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341BAD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E36265" w14:textId="77777777" w:rsidR="00FE0C5A" w:rsidRDefault="000C18DB" w:rsidP="00F113BD">
            <w:pPr>
              <w:spacing w:after="0"/>
              <w:rPr>
                <w:rFonts w:eastAsia="Times New Roman"/>
              </w:rPr>
            </w:pPr>
            <w:r>
              <w:rPr>
                <w:rFonts w:ascii="Arial" w:eastAsia="Times New Roman" w:hAnsi="Arial" w:cs="Arial"/>
                <w:sz w:val="16"/>
                <w:szCs w:val="16"/>
              </w:rPr>
              <w:t>Rendas de 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29D0D" w14:textId="77777777" w:rsidR="00FE0C5A" w:rsidRDefault="000C18DB" w:rsidP="00F113BD">
            <w:pPr>
              <w:spacing w:after="0"/>
              <w:jc w:val="right"/>
              <w:rPr>
                <w:rFonts w:eastAsia="Times New Roman"/>
              </w:rPr>
            </w:pPr>
            <w:r>
              <w:rPr>
                <w:rFonts w:ascii="Arial" w:eastAsia="Times New Roman" w:hAnsi="Arial" w:cs="Arial"/>
                <w:sz w:val="16"/>
                <w:szCs w:val="16"/>
              </w:rPr>
              <w:t>1.507.467,21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FC5D4" w14:textId="77777777" w:rsidR="00FE0C5A" w:rsidRDefault="000C18DB" w:rsidP="00F113BD">
            <w:pPr>
              <w:spacing w:after="0"/>
              <w:jc w:val="right"/>
              <w:rPr>
                <w:rFonts w:eastAsia="Times New Roman"/>
              </w:rPr>
            </w:pPr>
            <w:r>
              <w:rPr>
                <w:rFonts w:ascii="Arial" w:eastAsia="Times New Roman" w:hAnsi="Arial" w:cs="Arial"/>
                <w:sz w:val="16"/>
                <w:szCs w:val="16"/>
              </w:rPr>
              <w:t>1.766.897,51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52225"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29C848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EB1CD5" w14:textId="77777777" w:rsidR="00FE0C5A" w:rsidRDefault="000C18DB" w:rsidP="00F113BD">
            <w:pPr>
              <w:spacing w:after="0"/>
              <w:rPr>
                <w:rFonts w:eastAsia="Times New Roman"/>
              </w:rPr>
            </w:pPr>
            <w:r>
              <w:rPr>
                <w:rFonts w:ascii="Arial" w:eastAsia="Times New Roman" w:hAnsi="Arial" w:cs="Arial"/>
                <w:sz w:val="16"/>
                <w:szCs w:val="16"/>
              </w:rPr>
              <w:t>Desvalorização de Títulos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DEDC5" w14:textId="77777777" w:rsidR="00FE0C5A" w:rsidRDefault="000C18DB" w:rsidP="00F113BD">
            <w:pPr>
              <w:spacing w:after="0"/>
              <w:jc w:val="right"/>
              <w:rPr>
                <w:rFonts w:eastAsia="Times New Roman"/>
              </w:rPr>
            </w:pPr>
            <w:r>
              <w:rPr>
                <w:rFonts w:ascii="Arial" w:eastAsia="Times New Roman" w:hAnsi="Arial" w:cs="Arial"/>
                <w:sz w:val="16"/>
                <w:szCs w:val="16"/>
              </w:rPr>
              <w:t>17.720,74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788F8" w14:textId="77777777" w:rsidR="00FE0C5A" w:rsidRDefault="000C18DB" w:rsidP="00F113BD">
            <w:pPr>
              <w:spacing w:after="0"/>
              <w:jc w:val="right"/>
              <w:rPr>
                <w:rFonts w:eastAsia="Times New Roman"/>
              </w:rPr>
            </w:pPr>
            <w:r>
              <w:rPr>
                <w:rFonts w:ascii="Arial" w:eastAsia="Times New Roman" w:hAnsi="Arial" w:cs="Arial"/>
                <w:sz w:val="16"/>
                <w:szCs w:val="16"/>
              </w:rPr>
              <w:t>17.720,74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E42E0"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16CD6D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8D1272" w14:textId="77777777" w:rsidR="00FE0C5A" w:rsidRDefault="000C18DB" w:rsidP="00F113BD">
            <w:pPr>
              <w:spacing w:after="0"/>
              <w:rPr>
                <w:rFonts w:eastAsia="Times New Roman"/>
              </w:rPr>
            </w:pPr>
            <w:r>
              <w:rPr>
                <w:rFonts w:ascii="Arial" w:eastAsia="Times New Roman" w:hAnsi="Arial" w:cs="Arial"/>
                <w:sz w:val="16"/>
                <w:szCs w:val="16"/>
              </w:rPr>
              <w:t xml:space="preserve">(-) Desvalorização de </w:t>
            </w:r>
            <w:r>
              <w:rPr>
                <w:rFonts w:ascii="Arial" w:eastAsia="Times New Roman" w:hAnsi="Arial" w:cs="Arial"/>
                <w:sz w:val="16"/>
                <w:szCs w:val="16"/>
              </w:rPr>
              <w:t>Títulos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96027" w14:textId="77777777" w:rsidR="00FE0C5A" w:rsidRDefault="000C18DB" w:rsidP="00F113BD">
            <w:pPr>
              <w:spacing w:after="0"/>
              <w:jc w:val="right"/>
              <w:rPr>
                <w:rFonts w:eastAsia="Times New Roman"/>
              </w:rPr>
            </w:pPr>
            <w:r>
              <w:rPr>
                <w:rFonts w:ascii="Arial" w:eastAsia="Times New Roman" w:hAnsi="Arial" w:cs="Arial"/>
                <w:sz w:val="16"/>
                <w:szCs w:val="16"/>
              </w:rPr>
              <w:t>(168.542,05)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A8F9C" w14:textId="77777777" w:rsidR="00FE0C5A" w:rsidRDefault="000C18DB" w:rsidP="00F113BD">
            <w:pPr>
              <w:spacing w:after="0"/>
              <w:jc w:val="right"/>
              <w:rPr>
                <w:rFonts w:eastAsia="Times New Roman"/>
              </w:rPr>
            </w:pPr>
            <w:r>
              <w:rPr>
                <w:rFonts w:ascii="Arial" w:eastAsia="Times New Roman" w:hAnsi="Arial" w:cs="Arial"/>
                <w:sz w:val="16"/>
                <w:szCs w:val="16"/>
              </w:rPr>
              <w:t>(223.012,74)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42C89"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2D5728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FF9F26" w14:textId="77777777" w:rsidR="00FE0C5A" w:rsidRDefault="000C18DB" w:rsidP="00F113BD">
            <w:pPr>
              <w:spacing w:after="0"/>
              <w:jc w:val="center"/>
              <w:rPr>
                <w:rFonts w:eastAsia="Times New Roman"/>
              </w:rPr>
            </w:pPr>
            <w:r>
              <w:rPr>
                <w:rFonts w:ascii="Arial" w:eastAsia="Times New Roman" w:hAnsi="Arial" w:cs="Arial"/>
                <w:b/>
                <w:bCs/>
                <w:sz w:val="16"/>
                <w:szCs w:val="16"/>
              </w:rPr>
              <w:lastRenderedPageBreak/>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96486" w14:textId="77777777" w:rsidR="00FE0C5A" w:rsidRDefault="000C18DB" w:rsidP="00F113BD">
            <w:pPr>
              <w:spacing w:after="0"/>
              <w:jc w:val="right"/>
              <w:rPr>
                <w:rFonts w:eastAsia="Times New Roman"/>
              </w:rPr>
            </w:pPr>
            <w:r>
              <w:rPr>
                <w:rFonts w:ascii="Arial" w:eastAsia="Times New Roman" w:hAnsi="Arial" w:cs="Arial"/>
                <w:b/>
                <w:bCs/>
                <w:sz w:val="16"/>
                <w:szCs w:val="16"/>
              </w:rPr>
              <w:t>1.356.645,90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23BD9" w14:textId="77777777" w:rsidR="00FE0C5A" w:rsidRDefault="000C18DB" w:rsidP="00F113BD">
            <w:pPr>
              <w:spacing w:after="0"/>
              <w:jc w:val="right"/>
              <w:rPr>
                <w:rFonts w:eastAsia="Times New Roman"/>
              </w:rPr>
            </w:pPr>
            <w:r>
              <w:rPr>
                <w:rFonts w:ascii="Arial" w:eastAsia="Times New Roman" w:hAnsi="Arial" w:cs="Arial"/>
                <w:b/>
                <w:bCs/>
                <w:sz w:val="16"/>
                <w:szCs w:val="16"/>
              </w:rPr>
              <w:t>1.561.605,51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EE580"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r>
    </w:tbl>
    <w:p w14:paraId="1E310F2F" w14:textId="637CA063" w:rsidR="00FE0C5A" w:rsidRDefault="00B34EBB">
      <w:pPr>
        <w:pStyle w:val="NormalWeb"/>
      </w:pPr>
      <w:r>
        <w:rPr>
          <w:rFonts w:ascii="Arial" w:hAnsi="Arial" w:cs="Arial"/>
          <w:b/>
          <w:bCs/>
          <w:sz w:val="20"/>
          <w:szCs w:val="20"/>
        </w:rPr>
        <w:t>7. Operações de Crédito</w:t>
      </w:r>
    </w:p>
    <w:p w14:paraId="5B20305A" w14:textId="77777777" w:rsidR="00FE0C5A" w:rsidRDefault="000C18DB">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982"/>
        <w:gridCol w:w="1162"/>
        <w:gridCol w:w="1179"/>
        <w:gridCol w:w="1162"/>
        <w:gridCol w:w="1162"/>
        <w:gridCol w:w="1179"/>
        <w:gridCol w:w="1162"/>
      </w:tblGrid>
      <w:tr w:rsidR="00FE0C5A" w14:paraId="3FA1E7D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EBC1F6"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7CEF54"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F65830"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2779613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1487BCD"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C23DA5"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39211"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7A00B"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3A839"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997EE"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Não </w:t>
            </w: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65DCE"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207C3C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93F384" w14:textId="77777777" w:rsidR="00FE0C5A" w:rsidRDefault="000C18DB" w:rsidP="00F113BD">
            <w:pPr>
              <w:spacing w:after="0"/>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1FC0D" w14:textId="77777777" w:rsidR="00FE0C5A" w:rsidRDefault="000C18DB" w:rsidP="00F113BD">
            <w:pPr>
              <w:spacing w:after="0"/>
              <w:jc w:val="right"/>
              <w:rPr>
                <w:rFonts w:eastAsia="Times New Roman"/>
              </w:rPr>
            </w:pPr>
            <w:r>
              <w:rPr>
                <w:rFonts w:ascii="Arial" w:eastAsia="Times New Roman" w:hAnsi="Arial" w:cs="Arial"/>
                <w:sz w:val="16"/>
                <w:szCs w:val="16"/>
              </w:rPr>
              <w:t>41.322.702,64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F442E" w14:textId="77777777" w:rsidR="00FE0C5A" w:rsidRDefault="000C18DB" w:rsidP="00F113BD">
            <w:pPr>
              <w:spacing w:after="0"/>
              <w:jc w:val="right"/>
              <w:rPr>
                <w:rFonts w:eastAsia="Times New Roman"/>
              </w:rPr>
            </w:pPr>
            <w:r>
              <w:rPr>
                <w:rFonts w:ascii="Arial" w:eastAsia="Times New Roman" w:hAnsi="Arial" w:cs="Arial"/>
                <w:sz w:val="16"/>
                <w:szCs w:val="16"/>
              </w:rPr>
              <w:t>19.004.444,69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78129" w14:textId="77777777" w:rsidR="00FE0C5A" w:rsidRDefault="000C18DB" w:rsidP="00F113BD">
            <w:pPr>
              <w:spacing w:after="0"/>
              <w:jc w:val="right"/>
              <w:rPr>
                <w:rFonts w:eastAsia="Times New Roman"/>
              </w:rPr>
            </w:pPr>
            <w:r>
              <w:rPr>
                <w:rFonts w:ascii="Arial" w:eastAsia="Times New Roman" w:hAnsi="Arial" w:cs="Arial"/>
                <w:b/>
                <w:bCs/>
                <w:sz w:val="16"/>
                <w:szCs w:val="16"/>
              </w:rPr>
              <w:t>60.327.147,33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2E3D3" w14:textId="77777777" w:rsidR="00FE0C5A" w:rsidRDefault="000C18DB" w:rsidP="00F113BD">
            <w:pPr>
              <w:spacing w:after="0"/>
              <w:jc w:val="right"/>
              <w:rPr>
                <w:rFonts w:eastAsia="Times New Roman"/>
              </w:rPr>
            </w:pPr>
            <w:r>
              <w:rPr>
                <w:rFonts w:ascii="Arial" w:eastAsia="Times New Roman" w:hAnsi="Arial" w:cs="Arial"/>
                <w:sz w:val="16"/>
                <w:szCs w:val="16"/>
              </w:rPr>
              <w:t>49.403.818,41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AFF00" w14:textId="77777777" w:rsidR="00FE0C5A" w:rsidRDefault="000C18DB" w:rsidP="00F113BD">
            <w:pPr>
              <w:spacing w:after="0"/>
              <w:jc w:val="right"/>
              <w:rPr>
                <w:rFonts w:eastAsia="Times New Roman"/>
              </w:rPr>
            </w:pPr>
            <w:r>
              <w:rPr>
                <w:rFonts w:ascii="Arial" w:eastAsia="Times New Roman" w:hAnsi="Arial" w:cs="Arial"/>
                <w:sz w:val="16"/>
                <w:szCs w:val="16"/>
              </w:rPr>
              <w:t>20.426.792,73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58BAE" w14:textId="77777777" w:rsidR="00FE0C5A" w:rsidRDefault="000C18DB" w:rsidP="00F113BD">
            <w:pPr>
              <w:spacing w:after="0"/>
              <w:jc w:val="right"/>
              <w:rPr>
                <w:rFonts w:eastAsia="Times New Roman"/>
              </w:rPr>
            </w:pPr>
            <w:r>
              <w:rPr>
                <w:rFonts w:ascii="Arial" w:eastAsia="Times New Roman" w:hAnsi="Arial" w:cs="Arial"/>
                <w:b/>
                <w:bCs/>
                <w:sz w:val="16"/>
                <w:szCs w:val="16"/>
              </w:rPr>
              <w:t>69.830.611,14</w:t>
            </w:r>
          </w:p>
        </w:tc>
      </w:tr>
      <w:tr w:rsidR="00FE0C5A" w14:paraId="2B1917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1D3308" w14:textId="77777777" w:rsidR="00FE0C5A" w:rsidRDefault="000C18DB" w:rsidP="00F113BD">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BABF2" w14:textId="77777777" w:rsidR="00FE0C5A" w:rsidRDefault="000C18DB" w:rsidP="00F113BD">
            <w:pPr>
              <w:spacing w:after="0"/>
              <w:jc w:val="right"/>
              <w:rPr>
                <w:rFonts w:eastAsia="Times New Roman"/>
              </w:rPr>
            </w:pPr>
            <w:r>
              <w:rPr>
                <w:rFonts w:ascii="Arial" w:eastAsia="Times New Roman" w:hAnsi="Arial" w:cs="Arial"/>
                <w:sz w:val="16"/>
                <w:szCs w:val="16"/>
              </w:rPr>
              <w:t>5.283.030,63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04E4A" w14:textId="77777777" w:rsidR="00FE0C5A" w:rsidRDefault="000C18DB" w:rsidP="00F113BD">
            <w:pPr>
              <w:spacing w:after="0"/>
              <w:jc w:val="right"/>
              <w:rPr>
                <w:rFonts w:eastAsia="Times New Roman"/>
              </w:rPr>
            </w:pPr>
            <w:r>
              <w:rPr>
                <w:rFonts w:ascii="Arial" w:eastAsia="Times New Roman" w:hAnsi="Arial" w:cs="Arial"/>
                <w:sz w:val="16"/>
                <w:szCs w:val="16"/>
              </w:rPr>
              <w:t>7.029.781,53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82B85" w14:textId="77777777" w:rsidR="00FE0C5A" w:rsidRDefault="000C18DB" w:rsidP="00F113BD">
            <w:pPr>
              <w:spacing w:after="0"/>
              <w:jc w:val="right"/>
              <w:rPr>
                <w:rFonts w:eastAsia="Times New Roman"/>
              </w:rPr>
            </w:pPr>
            <w:r>
              <w:rPr>
                <w:rFonts w:ascii="Arial" w:eastAsia="Times New Roman" w:hAnsi="Arial" w:cs="Arial"/>
                <w:b/>
                <w:bCs/>
                <w:sz w:val="16"/>
                <w:szCs w:val="16"/>
              </w:rPr>
              <w:t>12.312.812,16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A87D3" w14:textId="77777777" w:rsidR="00FE0C5A" w:rsidRDefault="000C18DB" w:rsidP="00F113BD">
            <w:pPr>
              <w:spacing w:after="0"/>
              <w:jc w:val="right"/>
              <w:rPr>
                <w:rFonts w:eastAsia="Times New Roman"/>
              </w:rPr>
            </w:pPr>
            <w:r>
              <w:rPr>
                <w:rFonts w:ascii="Arial" w:eastAsia="Times New Roman" w:hAnsi="Arial" w:cs="Arial"/>
                <w:sz w:val="16"/>
                <w:szCs w:val="16"/>
              </w:rPr>
              <w:t>5.252.385,62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982D1" w14:textId="77777777" w:rsidR="00FE0C5A" w:rsidRDefault="000C18DB" w:rsidP="00F113BD">
            <w:pPr>
              <w:spacing w:after="0"/>
              <w:jc w:val="right"/>
              <w:rPr>
                <w:rFonts w:eastAsia="Times New Roman"/>
              </w:rPr>
            </w:pPr>
            <w:r>
              <w:rPr>
                <w:rFonts w:ascii="Arial" w:eastAsia="Times New Roman" w:hAnsi="Arial" w:cs="Arial"/>
                <w:sz w:val="16"/>
                <w:szCs w:val="16"/>
              </w:rPr>
              <w:t>8.198.816,81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C6B9C" w14:textId="77777777" w:rsidR="00FE0C5A" w:rsidRDefault="000C18DB" w:rsidP="00F113BD">
            <w:pPr>
              <w:spacing w:after="0"/>
              <w:jc w:val="right"/>
              <w:rPr>
                <w:rFonts w:eastAsia="Times New Roman"/>
              </w:rPr>
            </w:pPr>
            <w:r>
              <w:rPr>
                <w:rFonts w:ascii="Arial" w:eastAsia="Times New Roman" w:hAnsi="Arial" w:cs="Arial"/>
                <w:b/>
                <w:bCs/>
                <w:sz w:val="16"/>
                <w:szCs w:val="16"/>
              </w:rPr>
              <w:t>13.451.202,43</w:t>
            </w:r>
          </w:p>
        </w:tc>
      </w:tr>
      <w:tr w:rsidR="00FE0C5A" w14:paraId="525938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B26B3C" w14:textId="77777777" w:rsidR="00FE0C5A" w:rsidRDefault="000C18DB" w:rsidP="00F113BD">
            <w:pPr>
              <w:spacing w:after="0"/>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8C83E" w14:textId="77777777" w:rsidR="00FE0C5A" w:rsidRDefault="000C18DB" w:rsidP="00F113BD">
            <w:pPr>
              <w:spacing w:after="0"/>
              <w:jc w:val="right"/>
              <w:rPr>
                <w:rFonts w:eastAsia="Times New Roman"/>
              </w:rPr>
            </w:pPr>
            <w:r>
              <w:rPr>
                <w:rFonts w:ascii="Arial" w:eastAsia="Times New Roman" w:hAnsi="Arial" w:cs="Arial"/>
                <w:sz w:val="16"/>
                <w:szCs w:val="16"/>
              </w:rPr>
              <w:t>67.990.201,78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6DEA6" w14:textId="77777777" w:rsidR="00FE0C5A" w:rsidRDefault="000C18DB" w:rsidP="00F113BD">
            <w:pPr>
              <w:spacing w:after="0"/>
              <w:jc w:val="right"/>
              <w:rPr>
                <w:rFonts w:eastAsia="Times New Roman"/>
              </w:rPr>
            </w:pPr>
            <w:r>
              <w:rPr>
                <w:rFonts w:ascii="Arial" w:eastAsia="Times New Roman" w:hAnsi="Arial" w:cs="Arial"/>
                <w:sz w:val="16"/>
                <w:szCs w:val="16"/>
              </w:rPr>
              <w:t>19.075.933,66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83DE8" w14:textId="77777777" w:rsidR="00FE0C5A" w:rsidRDefault="000C18DB" w:rsidP="00F113BD">
            <w:pPr>
              <w:spacing w:after="0"/>
              <w:jc w:val="right"/>
              <w:rPr>
                <w:rFonts w:eastAsia="Times New Roman"/>
              </w:rPr>
            </w:pPr>
            <w:r>
              <w:rPr>
                <w:rFonts w:ascii="Arial" w:eastAsia="Times New Roman" w:hAnsi="Arial" w:cs="Arial"/>
                <w:b/>
                <w:bCs/>
                <w:sz w:val="16"/>
                <w:szCs w:val="16"/>
              </w:rPr>
              <w:t>87.066.135,44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B9838" w14:textId="77777777" w:rsidR="00FE0C5A" w:rsidRDefault="000C18DB" w:rsidP="00F113BD">
            <w:pPr>
              <w:spacing w:after="0"/>
              <w:jc w:val="right"/>
              <w:rPr>
                <w:rFonts w:eastAsia="Times New Roman"/>
              </w:rPr>
            </w:pPr>
            <w:r>
              <w:rPr>
                <w:rFonts w:ascii="Arial" w:eastAsia="Times New Roman" w:hAnsi="Arial" w:cs="Arial"/>
                <w:sz w:val="16"/>
                <w:szCs w:val="16"/>
              </w:rPr>
              <w:t>78.989.668,86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B52E4" w14:textId="77777777" w:rsidR="00FE0C5A" w:rsidRDefault="000C18DB" w:rsidP="00F113BD">
            <w:pPr>
              <w:spacing w:after="0"/>
              <w:jc w:val="right"/>
              <w:rPr>
                <w:rFonts w:eastAsia="Times New Roman"/>
              </w:rPr>
            </w:pPr>
            <w:r>
              <w:rPr>
                <w:rFonts w:ascii="Arial" w:eastAsia="Times New Roman" w:hAnsi="Arial" w:cs="Arial"/>
                <w:sz w:val="16"/>
                <w:szCs w:val="16"/>
              </w:rPr>
              <w:t>17.864.546,07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D7A9" w14:textId="77777777" w:rsidR="00FE0C5A" w:rsidRDefault="000C18DB" w:rsidP="00F113BD">
            <w:pPr>
              <w:spacing w:after="0"/>
              <w:jc w:val="right"/>
              <w:rPr>
                <w:rFonts w:eastAsia="Times New Roman"/>
              </w:rPr>
            </w:pPr>
            <w:r>
              <w:rPr>
                <w:rFonts w:ascii="Arial" w:eastAsia="Times New Roman" w:hAnsi="Arial" w:cs="Arial"/>
                <w:b/>
                <w:bCs/>
                <w:sz w:val="16"/>
                <w:szCs w:val="16"/>
              </w:rPr>
              <w:t>96.854.214,93</w:t>
            </w:r>
          </w:p>
        </w:tc>
      </w:tr>
      <w:tr w:rsidR="00FE0C5A" w14:paraId="28B49F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D0B304" w14:textId="77777777" w:rsidR="00FE0C5A" w:rsidRDefault="000C18DB" w:rsidP="00F113BD">
            <w:pPr>
              <w:spacing w:after="0"/>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07546" w14:textId="77777777" w:rsidR="00FE0C5A" w:rsidRDefault="000C18DB" w:rsidP="00F113BD">
            <w:pPr>
              <w:spacing w:after="0"/>
              <w:jc w:val="right"/>
              <w:rPr>
                <w:rFonts w:eastAsia="Times New Roman"/>
              </w:rPr>
            </w:pPr>
            <w:r>
              <w:rPr>
                <w:rFonts w:ascii="Arial" w:eastAsia="Times New Roman" w:hAnsi="Arial" w:cs="Arial"/>
                <w:b/>
                <w:bCs/>
                <w:sz w:val="16"/>
                <w:szCs w:val="16"/>
              </w:rPr>
              <w:t>114.595.935,05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FC995" w14:textId="77777777" w:rsidR="00FE0C5A" w:rsidRDefault="000C18DB" w:rsidP="00F113BD">
            <w:pPr>
              <w:spacing w:after="0"/>
              <w:jc w:val="right"/>
              <w:rPr>
                <w:rFonts w:eastAsia="Times New Roman"/>
              </w:rPr>
            </w:pPr>
            <w:r>
              <w:rPr>
                <w:rFonts w:ascii="Arial" w:eastAsia="Times New Roman" w:hAnsi="Arial" w:cs="Arial"/>
                <w:b/>
                <w:bCs/>
                <w:sz w:val="16"/>
                <w:szCs w:val="16"/>
              </w:rPr>
              <w:t>45.110.159,88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53A17" w14:textId="77777777" w:rsidR="00FE0C5A" w:rsidRDefault="000C18DB" w:rsidP="00F113BD">
            <w:pPr>
              <w:spacing w:after="0"/>
              <w:jc w:val="right"/>
              <w:rPr>
                <w:rFonts w:eastAsia="Times New Roman"/>
              </w:rPr>
            </w:pPr>
            <w:r>
              <w:rPr>
                <w:rFonts w:ascii="Arial" w:eastAsia="Times New Roman" w:hAnsi="Arial" w:cs="Arial"/>
                <w:b/>
                <w:bCs/>
                <w:sz w:val="16"/>
                <w:szCs w:val="16"/>
              </w:rPr>
              <w:t>159.706.094,93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2397B" w14:textId="77777777" w:rsidR="00FE0C5A" w:rsidRDefault="000C18DB" w:rsidP="00F113BD">
            <w:pPr>
              <w:spacing w:after="0"/>
              <w:jc w:val="right"/>
              <w:rPr>
                <w:rFonts w:eastAsia="Times New Roman"/>
              </w:rPr>
            </w:pPr>
            <w:r>
              <w:rPr>
                <w:rFonts w:ascii="Arial" w:eastAsia="Times New Roman" w:hAnsi="Arial" w:cs="Arial"/>
                <w:b/>
                <w:bCs/>
                <w:sz w:val="16"/>
                <w:szCs w:val="16"/>
              </w:rPr>
              <w:t>133.645.872,89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3F535" w14:textId="77777777" w:rsidR="00FE0C5A" w:rsidRDefault="000C18DB" w:rsidP="00F113BD">
            <w:pPr>
              <w:spacing w:after="0"/>
              <w:jc w:val="right"/>
              <w:rPr>
                <w:rFonts w:eastAsia="Times New Roman"/>
              </w:rPr>
            </w:pPr>
            <w:r>
              <w:rPr>
                <w:rFonts w:ascii="Arial" w:eastAsia="Times New Roman" w:hAnsi="Arial" w:cs="Arial"/>
                <w:b/>
                <w:bCs/>
                <w:sz w:val="16"/>
                <w:szCs w:val="16"/>
              </w:rPr>
              <w:t>46.490.155,61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2BDB4" w14:textId="77777777" w:rsidR="00FE0C5A" w:rsidRDefault="000C18DB" w:rsidP="00F113BD">
            <w:pPr>
              <w:spacing w:after="0"/>
              <w:jc w:val="right"/>
              <w:rPr>
                <w:rFonts w:eastAsia="Times New Roman"/>
              </w:rPr>
            </w:pPr>
            <w:r>
              <w:rPr>
                <w:rFonts w:ascii="Arial" w:eastAsia="Times New Roman" w:hAnsi="Arial" w:cs="Arial"/>
                <w:b/>
                <w:bCs/>
                <w:sz w:val="16"/>
                <w:szCs w:val="16"/>
              </w:rPr>
              <w:t>180.136.028,50</w:t>
            </w:r>
          </w:p>
        </w:tc>
      </w:tr>
      <w:tr w:rsidR="00FE0C5A" w14:paraId="2D783B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4D18DC" w14:textId="77777777" w:rsidR="00FE0C5A" w:rsidRDefault="000C18DB" w:rsidP="00F113BD">
            <w:pPr>
              <w:spacing w:after="0"/>
              <w:rPr>
                <w:rFonts w:eastAsia="Times New Roman"/>
              </w:rPr>
            </w:pPr>
            <w:r>
              <w:rPr>
                <w:rFonts w:ascii="Arial" w:eastAsia="Times New Roman" w:hAnsi="Arial" w:cs="Arial"/>
                <w:sz w:val="16"/>
                <w:szCs w:val="16"/>
              </w:rPr>
              <w:t xml:space="preserve">(-) Provisões para </w:t>
            </w:r>
            <w:r>
              <w:rPr>
                <w:rFonts w:ascii="Arial" w:eastAsia="Times New Roman" w:hAnsi="Arial" w:cs="Arial"/>
                <w:sz w:val="16"/>
                <w:szCs w:val="16"/>
              </w:rPr>
              <w:t>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F90E2" w14:textId="77777777" w:rsidR="00FE0C5A" w:rsidRDefault="000C18DB" w:rsidP="00F113BD">
            <w:pPr>
              <w:spacing w:after="0"/>
              <w:jc w:val="right"/>
              <w:rPr>
                <w:rFonts w:eastAsia="Times New Roman"/>
              </w:rPr>
            </w:pPr>
            <w:r>
              <w:rPr>
                <w:rFonts w:ascii="Arial" w:eastAsia="Times New Roman" w:hAnsi="Arial" w:cs="Arial"/>
                <w:sz w:val="16"/>
                <w:szCs w:val="16"/>
              </w:rPr>
              <w:t>(5.378.843,62)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5E33A" w14:textId="77777777" w:rsidR="00FE0C5A" w:rsidRDefault="000C18DB" w:rsidP="00F113BD">
            <w:pPr>
              <w:spacing w:after="0"/>
              <w:jc w:val="right"/>
              <w:rPr>
                <w:rFonts w:eastAsia="Times New Roman"/>
              </w:rPr>
            </w:pPr>
            <w:r>
              <w:rPr>
                <w:rFonts w:ascii="Arial" w:eastAsia="Times New Roman" w:hAnsi="Arial" w:cs="Arial"/>
                <w:sz w:val="16"/>
                <w:szCs w:val="16"/>
              </w:rPr>
              <w:t>(2.838.417,19)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AF998" w14:textId="77777777" w:rsidR="00FE0C5A" w:rsidRDefault="000C18DB" w:rsidP="00F113BD">
            <w:pPr>
              <w:spacing w:after="0"/>
              <w:jc w:val="right"/>
              <w:rPr>
                <w:rFonts w:eastAsia="Times New Roman"/>
              </w:rPr>
            </w:pPr>
            <w:r>
              <w:rPr>
                <w:rFonts w:ascii="Arial" w:eastAsia="Times New Roman" w:hAnsi="Arial" w:cs="Arial"/>
                <w:b/>
                <w:bCs/>
                <w:sz w:val="16"/>
                <w:szCs w:val="16"/>
              </w:rPr>
              <w:t>(8.217.260,81)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607AC" w14:textId="77777777" w:rsidR="00FE0C5A" w:rsidRDefault="000C18DB" w:rsidP="00F113BD">
            <w:pPr>
              <w:spacing w:after="0"/>
              <w:jc w:val="right"/>
              <w:rPr>
                <w:rFonts w:eastAsia="Times New Roman"/>
              </w:rPr>
            </w:pPr>
            <w:r>
              <w:rPr>
                <w:rFonts w:ascii="Arial" w:eastAsia="Times New Roman" w:hAnsi="Arial" w:cs="Arial"/>
                <w:sz w:val="16"/>
                <w:szCs w:val="16"/>
              </w:rPr>
              <w:t>(2.914.337,48)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127F3" w14:textId="77777777" w:rsidR="00FE0C5A" w:rsidRDefault="000C18DB" w:rsidP="00F113BD">
            <w:pPr>
              <w:spacing w:after="0"/>
              <w:jc w:val="right"/>
              <w:rPr>
                <w:rFonts w:eastAsia="Times New Roman"/>
              </w:rPr>
            </w:pPr>
            <w:r>
              <w:rPr>
                <w:rFonts w:ascii="Arial" w:eastAsia="Times New Roman" w:hAnsi="Arial" w:cs="Arial"/>
                <w:sz w:val="16"/>
                <w:szCs w:val="16"/>
              </w:rPr>
              <w:t>(2.118.007,83)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686A5" w14:textId="77777777" w:rsidR="00FE0C5A" w:rsidRDefault="000C18DB" w:rsidP="00F113BD">
            <w:pPr>
              <w:spacing w:after="0"/>
              <w:jc w:val="right"/>
              <w:rPr>
                <w:rFonts w:eastAsia="Times New Roman"/>
              </w:rPr>
            </w:pPr>
            <w:r>
              <w:rPr>
                <w:rFonts w:ascii="Arial" w:eastAsia="Times New Roman" w:hAnsi="Arial" w:cs="Arial"/>
                <w:b/>
                <w:bCs/>
                <w:sz w:val="16"/>
                <w:szCs w:val="16"/>
              </w:rPr>
              <w:t>(5.032.345,31)</w:t>
            </w:r>
          </w:p>
        </w:tc>
      </w:tr>
      <w:tr w:rsidR="00FE0C5A" w14:paraId="4C725C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7DB2F7"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7A0C0" w14:textId="77777777" w:rsidR="00FE0C5A" w:rsidRDefault="000C18DB" w:rsidP="00F113BD">
            <w:pPr>
              <w:spacing w:after="0"/>
              <w:jc w:val="right"/>
              <w:rPr>
                <w:rFonts w:eastAsia="Times New Roman"/>
              </w:rPr>
            </w:pPr>
            <w:r>
              <w:rPr>
                <w:rFonts w:ascii="Arial" w:eastAsia="Times New Roman" w:hAnsi="Arial" w:cs="Arial"/>
                <w:b/>
                <w:bCs/>
                <w:sz w:val="16"/>
                <w:szCs w:val="16"/>
              </w:rPr>
              <w:t>109.217.091,43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E9256" w14:textId="77777777" w:rsidR="00FE0C5A" w:rsidRDefault="000C18DB" w:rsidP="00F113BD">
            <w:pPr>
              <w:spacing w:after="0"/>
              <w:jc w:val="right"/>
              <w:rPr>
                <w:rFonts w:eastAsia="Times New Roman"/>
              </w:rPr>
            </w:pPr>
            <w:r>
              <w:rPr>
                <w:rFonts w:ascii="Arial" w:eastAsia="Times New Roman" w:hAnsi="Arial" w:cs="Arial"/>
                <w:b/>
                <w:bCs/>
                <w:sz w:val="16"/>
                <w:szCs w:val="16"/>
              </w:rPr>
              <w:t>42.271.742,69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0A3A4" w14:textId="77777777" w:rsidR="00FE0C5A" w:rsidRDefault="000C18DB" w:rsidP="00F113BD">
            <w:pPr>
              <w:spacing w:after="0"/>
              <w:jc w:val="right"/>
              <w:rPr>
                <w:rFonts w:eastAsia="Times New Roman"/>
              </w:rPr>
            </w:pPr>
            <w:r>
              <w:rPr>
                <w:rFonts w:ascii="Arial" w:eastAsia="Times New Roman" w:hAnsi="Arial" w:cs="Arial"/>
                <w:b/>
                <w:bCs/>
                <w:sz w:val="16"/>
                <w:szCs w:val="16"/>
              </w:rPr>
              <w:t>151.488.834,12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29F79" w14:textId="77777777" w:rsidR="00FE0C5A" w:rsidRDefault="000C18DB" w:rsidP="00F113BD">
            <w:pPr>
              <w:spacing w:after="0"/>
              <w:jc w:val="right"/>
              <w:rPr>
                <w:rFonts w:eastAsia="Times New Roman"/>
              </w:rPr>
            </w:pPr>
            <w:r>
              <w:rPr>
                <w:rFonts w:ascii="Arial" w:eastAsia="Times New Roman" w:hAnsi="Arial" w:cs="Arial"/>
                <w:b/>
                <w:bCs/>
                <w:sz w:val="16"/>
                <w:szCs w:val="16"/>
              </w:rPr>
              <w:t>130.731.535,41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CB715" w14:textId="77777777" w:rsidR="00FE0C5A" w:rsidRDefault="000C18DB" w:rsidP="00F113BD">
            <w:pPr>
              <w:spacing w:after="0"/>
              <w:jc w:val="right"/>
              <w:rPr>
                <w:rFonts w:eastAsia="Times New Roman"/>
              </w:rPr>
            </w:pPr>
            <w:r>
              <w:rPr>
                <w:rFonts w:ascii="Arial" w:eastAsia="Times New Roman" w:hAnsi="Arial" w:cs="Arial"/>
                <w:b/>
                <w:bCs/>
                <w:sz w:val="16"/>
                <w:szCs w:val="16"/>
              </w:rPr>
              <w:t>44.372.147,78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8571A" w14:textId="77777777" w:rsidR="00FE0C5A" w:rsidRDefault="000C18DB" w:rsidP="00F113BD">
            <w:pPr>
              <w:spacing w:after="0"/>
              <w:jc w:val="right"/>
              <w:rPr>
                <w:rFonts w:eastAsia="Times New Roman"/>
              </w:rPr>
            </w:pPr>
            <w:r>
              <w:rPr>
                <w:rFonts w:ascii="Arial" w:eastAsia="Times New Roman" w:hAnsi="Arial" w:cs="Arial"/>
                <w:b/>
                <w:bCs/>
                <w:sz w:val="16"/>
                <w:szCs w:val="16"/>
              </w:rPr>
              <w:t>175.103.683,19</w:t>
            </w:r>
          </w:p>
        </w:tc>
      </w:tr>
    </w:tbl>
    <w:p w14:paraId="3329803D" w14:textId="77777777" w:rsidR="00FE0C5A" w:rsidRDefault="000C18DB">
      <w:pPr>
        <w:pStyle w:val="NormalWeb"/>
        <w:jc w:val="both"/>
      </w:pPr>
      <w:r>
        <w:rPr>
          <w:rFonts w:ascii="Arial" w:hAnsi="Arial" w:cs="Arial"/>
          <w:sz w:val="20"/>
          <w:szCs w:val="20"/>
        </w:rPr>
        <w:t xml:space="preserve">b) Composição por tipo de operação e </w:t>
      </w:r>
      <w:r>
        <w:rPr>
          <w:rFonts w:ascii="Arial" w:hAnsi="Arial" w:cs="Arial"/>
          <w:sz w:val="20"/>
          <w:szCs w:val="20"/>
        </w:rPr>
        <w:t>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67"/>
        <w:gridCol w:w="497"/>
        <w:gridCol w:w="778"/>
        <w:gridCol w:w="1338"/>
        <w:gridCol w:w="1283"/>
        <w:gridCol w:w="1283"/>
        <w:gridCol w:w="1173"/>
        <w:gridCol w:w="1098"/>
        <w:gridCol w:w="1173"/>
        <w:gridCol w:w="1098"/>
      </w:tblGrid>
      <w:tr w:rsidR="00FE0C5A" w14:paraId="0B310E79"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297C80"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A1A43" w14:textId="77777777" w:rsidR="00FE0C5A" w:rsidRDefault="000C18DB" w:rsidP="00F113BD">
            <w:pPr>
              <w:spacing w:after="0"/>
              <w:jc w:val="center"/>
              <w:rPr>
                <w:rFonts w:eastAsia="Times New Roman"/>
              </w:rPr>
            </w:pPr>
            <w:r>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E3510" w14:textId="77777777" w:rsidR="00FE0C5A" w:rsidRDefault="000C18DB" w:rsidP="00F113BD">
            <w:pPr>
              <w:spacing w:after="0"/>
              <w:jc w:val="center"/>
              <w:rPr>
                <w:rFonts w:eastAsia="Times New Roman"/>
              </w:rPr>
            </w:pPr>
            <w:r>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66D8C"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Financiamentos </w:t>
            </w:r>
            <w:r>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55952" w14:textId="77777777" w:rsidR="00FE0C5A" w:rsidRDefault="000C18DB" w:rsidP="00F113BD">
            <w:pPr>
              <w:spacing w:after="0"/>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060E0" w14:textId="77777777" w:rsidR="00FE0C5A" w:rsidRDefault="000C18DB" w:rsidP="00F113BD">
            <w:pPr>
              <w:spacing w:after="0"/>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15329" w14:textId="77777777" w:rsidR="00FE0C5A" w:rsidRDefault="000C18DB" w:rsidP="00F113BD">
            <w:pPr>
              <w:spacing w:after="0"/>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000F2" w14:textId="77777777" w:rsidR="00FE0C5A" w:rsidRDefault="000C18DB" w:rsidP="00F113BD">
            <w:pPr>
              <w:spacing w:after="0"/>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r>
            <w:r>
              <w:rPr>
                <w:rFonts w:ascii="Arial" w:eastAsia="Times New Roman" w:hAnsi="Arial" w:cs="Arial"/>
                <w:b/>
                <w:bCs/>
                <w:sz w:val="16"/>
                <w:szCs w:val="16"/>
              </w:rPr>
              <w:t>31/12/2022</w:t>
            </w:r>
          </w:p>
        </w:tc>
      </w:tr>
      <w:tr w:rsidR="00FE0C5A" w14:paraId="184293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04E12A" w14:textId="77777777" w:rsidR="00FE0C5A" w:rsidRDefault="000C18DB" w:rsidP="00F113BD">
            <w:pPr>
              <w:spacing w:after="0"/>
              <w:jc w:val="center"/>
              <w:rPr>
                <w:rFonts w:eastAsia="Times New Roman"/>
              </w:rPr>
            </w:pPr>
            <w:r>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F04B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4AF14" w14:textId="77777777" w:rsidR="00FE0C5A" w:rsidRDefault="000C18DB" w:rsidP="00F113BD">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D80EF" w14:textId="77777777" w:rsidR="00FE0C5A" w:rsidRDefault="000C18DB" w:rsidP="00F113BD">
            <w:pPr>
              <w:spacing w:after="0"/>
              <w:jc w:val="right"/>
              <w:rPr>
                <w:rFonts w:eastAsia="Times New Roman"/>
              </w:rPr>
            </w:pPr>
            <w:r>
              <w:rPr>
                <w:rFonts w:ascii="Arial" w:eastAsia="Times New Roman" w:hAnsi="Arial" w:cs="Arial"/>
                <w:sz w:val="16"/>
                <w:szCs w:val="16"/>
              </w:rPr>
              <w:t>1.911.521,37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83587" w14:textId="77777777" w:rsidR="00FE0C5A" w:rsidRDefault="000C18DB" w:rsidP="00F113BD">
            <w:pPr>
              <w:spacing w:after="0"/>
              <w:jc w:val="right"/>
              <w:rPr>
                <w:rFonts w:eastAsia="Times New Roman"/>
              </w:rPr>
            </w:pPr>
            <w:r>
              <w:rPr>
                <w:rFonts w:ascii="Arial" w:eastAsia="Times New Roman" w:hAnsi="Arial" w:cs="Arial"/>
                <w:sz w:val="16"/>
                <w:szCs w:val="16"/>
              </w:rPr>
              <w:t>296.688,21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A5AAD" w14:textId="77777777" w:rsidR="00FE0C5A" w:rsidRDefault="000C18DB" w:rsidP="00F113BD">
            <w:pPr>
              <w:spacing w:after="0"/>
              <w:jc w:val="right"/>
              <w:rPr>
                <w:rFonts w:eastAsia="Times New Roman"/>
              </w:rPr>
            </w:pPr>
            <w:r>
              <w:rPr>
                <w:rFonts w:ascii="Arial" w:eastAsia="Times New Roman" w:hAnsi="Arial" w:cs="Arial"/>
                <w:sz w:val="16"/>
                <w:szCs w:val="16"/>
              </w:rPr>
              <w:t>30.872.540,76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5887E" w14:textId="77777777" w:rsidR="00FE0C5A" w:rsidRDefault="000C18DB" w:rsidP="00F113BD">
            <w:pPr>
              <w:spacing w:after="0"/>
              <w:jc w:val="right"/>
              <w:rPr>
                <w:rFonts w:eastAsia="Times New Roman"/>
              </w:rPr>
            </w:pPr>
            <w:r>
              <w:rPr>
                <w:rFonts w:ascii="Arial" w:eastAsia="Times New Roman" w:hAnsi="Arial" w:cs="Arial"/>
                <w:sz w:val="16"/>
                <w:szCs w:val="16"/>
              </w:rPr>
              <w:t>33.080.750,34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24E53" w14:textId="77777777" w:rsidR="00FE0C5A" w:rsidRDefault="00FE0C5A" w:rsidP="00F113BD">
            <w:pPr>
              <w:spacing w:after="0"/>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238612" w14:textId="77777777" w:rsidR="00FE0C5A" w:rsidRDefault="000C18DB" w:rsidP="00F113BD">
            <w:pPr>
              <w:spacing w:after="0"/>
              <w:jc w:val="right"/>
              <w:rPr>
                <w:rFonts w:eastAsia="Times New Roman"/>
              </w:rPr>
            </w:pPr>
            <w:r>
              <w:rPr>
                <w:rFonts w:ascii="Arial" w:eastAsia="Times New Roman" w:hAnsi="Arial" w:cs="Arial"/>
                <w:sz w:val="16"/>
                <w:szCs w:val="16"/>
              </w:rPr>
              <w:t>36.986.600,57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B11B1" w14:textId="77777777" w:rsidR="00FE0C5A" w:rsidRDefault="00FE0C5A" w:rsidP="00F113BD">
            <w:pPr>
              <w:spacing w:after="0"/>
              <w:jc w:val="right"/>
              <w:rPr>
                <w:rFonts w:eastAsia="Times New Roman"/>
              </w:rPr>
            </w:pPr>
          </w:p>
        </w:tc>
      </w:tr>
      <w:tr w:rsidR="00FE0C5A" w14:paraId="49060E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136567" w14:textId="77777777" w:rsidR="00FE0C5A" w:rsidRDefault="000C18DB" w:rsidP="00F113BD">
            <w:pPr>
              <w:spacing w:after="0"/>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60964" w14:textId="77777777" w:rsidR="00FE0C5A" w:rsidRDefault="000C18DB" w:rsidP="00F113BD">
            <w:pPr>
              <w:spacing w:after="0"/>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32D86" w14:textId="77777777" w:rsidR="00FE0C5A" w:rsidRDefault="000C18DB" w:rsidP="00F113BD">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6529B" w14:textId="77777777" w:rsidR="00FE0C5A" w:rsidRDefault="000C18DB" w:rsidP="00F113BD">
            <w:pPr>
              <w:spacing w:after="0"/>
              <w:jc w:val="right"/>
              <w:rPr>
                <w:rFonts w:eastAsia="Times New Roman"/>
              </w:rPr>
            </w:pPr>
            <w:r>
              <w:rPr>
                <w:rFonts w:ascii="Arial" w:eastAsia="Times New Roman" w:hAnsi="Arial" w:cs="Arial"/>
                <w:sz w:val="16"/>
                <w:szCs w:val="16"/>
              </w:rPr>
              <w:t>15.357.926,48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BF7D9" w14:textId="77777777" w:rsidR="00FE0C5A" w:rsidRDefault="000C18DB" w:rsidP="00F113BD">
            <w:pPr>
              <w:spacing w:after="0"/>
              <w:jc w:val="right"/>
              <w:rPr>
                <w:rFonts w:eastAsia="Times New Roman"/>
              </w:rPr>
            </w:pPr>
            <w:r>
              <w:rPr>
                <w:rFonts w:ascii="Arial" w:eastAsia="Times New Roman" w:hAnsi="Arial" w:cs="Arial"/>
                <w:sz w:val="16"/>
                <w:szCs w:val="16"/>
              </w:rPr>
              <w:t>4.049.125,18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01D1F" w14:textId="77777777" w:rsidR="00FE0C5A" w:rsidRDefault="000C18DB" w:rsidP="00F113BD">
            <w:pPr>
              <w:spacing w:after="0"/>
              <w:jc w:val="right"/>
              <w:rPr>
                <w:rFonts w:eastAsia="Times New Roman"/>
              </w:rPr>
            </w:pPr>
            <w:r>
              <w:rPr>
                <w:rFonts w:ascii="Arial" w:eastAsia="Times New Roman" w:hAnsi="Arial" w:cs="Arial"/>
                <w:sz w:val="16"/>
                <w:szCs w:val="16"/>
              </w:rPr>
              <w:t>39.037.318,86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9E735" w14:textId="77777777" w:rsidR="00FE0C5A" w:rsidRDefault="000C18DB" w:rsidP="00F113BD">
            <w:pPr>
              <w:spacing w:after="0"/>
              <w:jc w:val="right"/>
              <w:rPr>
                <w:rFonts w:eastAsia="Times New Roman"/>
              </w:rPr>
            </w:pPr>
            <w:r>
              <w:rPr>
                <w:rFonts w:ascii="Arial" w:eastAsia="Times New Roman" w:hAnsi="Arial" w:cs="Arial"/>
                <w:sz w:val="16"/>
                <w:szCs w:val="16"/>
              </w:rPr>
              <w:t>58.444.370,52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7B7E4" w14:textId="77777777" w:rsidR="00FE0C5A" w:rsidRDefault="000C18DB" w:rsidP="00F113BD">
            <w:pPr>
              <w:spacing w:after="0"/>
              <w:jc w:val="right"/>
              <w:rPr>
                <w:rFonts w:eastAsia="Times New Roman"/>
              </w:rPr>
            </w:pPr>
            <w:r>
              <w:rPr>
                <w:rFonts w:ascii="Arial" w:eastAsia="Times New Roman" w:hAnsi="Arial" w:cs="Arial"/>
                <w:sz w:val="16"/>
                <w:szCs w:val="16"/>
              </w:rPr>
              <w:t>(292.221,85)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6854A" w14:textId="77777777" w:rsidR="00FE0C5A" w:rsidRDefault="000C18DB" w:rsidP="00F113BD">
            <w:pPr>
              <w:spacing w:after="0"/>
              <w:jc w:val="right"/>
              <w:rPr>
                <w:rFonts w:eastAsia="Times New Roman"/>
              </w:rPr>
            </w:pPr>
            <w:r>
              <w:rPr>
                <w:rFonts w:ascii="Arial" w:eastAsia="Times New Roman" w:hAnsi="Arial" w:cs="Arial"/>
                <w:sz w:val="16"/>
                <w:szCs w:val="16"/>
              </w:rPr>
              <w:t>56.575.952,04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42B18" w14:textId="77777777" w:rsidR="00FE0C5A" w:rsidRDefault="000C18DB" w:rsidP="00F113BD">
            <w:pPr>
              <w:spacing w:after="0"/>
              <w:jc w:val="right"/>
              <w:rPr>
                <w:rFonts w:eastAsia="Times New Roman"/>
              </w:rPr>
            </w:pPr>
            <w:r>
              <w:rPr>
                <w:rFonts w:ascii="Arial" w:eastAsia="Times New Roman" w:hAnsi="Arial" w:cs="Arial"/>
                <w:sz w:val="16"/>
                <w:szCs w:val="16"/>
              </w:rPr>
              <w:t>(282.879,76)</w:t>
            </w:r>
          </w:p>
        </w:tc>
      </w:tr>
      <w:tr w:rsidR="00FE0C5A" w14:paraId="67C2D8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77D127" w14:textId="77777777" w:rsidR="00FE0C5A" w:rsidRDefault="000C18DB" w:rsidP="00F113BD">
            <w:pPr>
              <w:spacing w:after="0"/>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F6EFA" w14:textId="77777777" w:rsidR="00FE0C5A" w:rsidRDefault="000C18DB" w:rsidP="00F113BD">
            <w:pPr>
              <w:spacing w:after="0"/>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1544C" w14:textId="77777777" w:rsidR="00FE0C5A" w:rsidRDefault="000C18DB" w:rsidP="00F113BD">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BBB9B" w14:textId="77777777" w:rsidR="00FE0C5A" w:rsidRDefault="000C18DB" w:rsidP="00F113BD">
            <w:pPr>
              <w:spacing w:after="0"/>
              <w:jc w:val="right"/>
              <w:rPr>
                <w:rFonts w:eastAsia="Times New Roman"/>
              </w:rPr>
            </w:pPr>
            <w:r>
              <w:rPr>
                <w:rFonts w:ascii="Arial" w:eastAsia="Times New Roman" w:hAnsi="Arial" w:cs="Arial"/>
                <w:sz w:val="16"/>
                <w:szCs w:val="16"/>
              </w:rPr>
              <w:t>19.817.675,31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8F489" w14:textId="77777777" w:rsidR="00FE0C5A" w:rsidRDefault="000C18DB" w:rsidP="00F113BD">
            <w:pPr>
              <w:spacing w:after="0"/>
              <w:jc w:val="right"/>
              <w:rPr>
                <w:rFonts w:eastAsia="Times New Roman"/>
              </w:rPr>
            </w:pPr>
            <w:r>
              <w:rPr>
                <w:rFonts w:ascii="Arial" w:eastAsia="Times New Roman" w:hAnsi="Arial" w:cs="Arial"/>
                <w:sz w:val="16"/>
                <w:szCs w:val="16"/>
              </w:rPr>
              <w:t>4.957.247,88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A13B1" w14:textId="77777777" w:rsidR="00FE0C5A" w:rsidRDefault="000C18DB" w:rsidP="00F113BD">
            <w:pPr>
              <w:spacing w:after="0"/>
              <w:jc w:val="right"/>
              <w:rPr>
                <w:rFonts w:eastAsia="Times New Roman"/>
              </w:rPr>
            </w:pPr>
            <w:r>
              <w:rPr>
                <w:rFonts w:ascii="Arial" w:eastAsia="Times New Roman" w:hAnsi="Arial" w:cs="Arial"/>
                <w:sz w:val="16"/>
                <w:szCs w:val="16"/>
              </w:rPr>
              <w:t>15.271.975,22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26B08" w14:textId="77777777" w:rsidR="00FE0C5A" w:rsidRDefault="000C18DB" w:rsidP="00F113BD">
            <w:pPr>
              <w:spacing w:after="0"/>
              <w:jc w:val="right"/>
              <w:rPr>
                <w:rFonts w:eastAsia="Times New Roman"/>
              </w:rPr>
            </w:pPr>
            <w:r>
              <w:rPr>
                <w:rFonts w:ascii="Arial" w:eastAsia="Times New Roman" w:hAnsi="Arial" w:cs="Arial"/>
                <w:sz w:val="16"/>
                <w:szCs w:val="16"/>
              </w:rPr>
              <w:t>40.046.898,41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0E3CE" w14:textId="77777777" w:rsidR="00FE0C5A" w:rsidRDefault="000C18DB" w:rsidP="00F113BD">
            <w:pPr>
              <w:spacing w:after="0"/>
              <w:jc w:val="right"/>
              <w:rPr>
                <w:rFonts w:eastAsia="Times New Roman"/>
              </w:rPr>
            </w:pPr>
            <w:r>
              <w:rPr>
                <w:rFonts w:ascii="Arial" w:eastAsia="Times New Roman" w:hAnsi="Arial" w:cs="Arial"/>
                <w:sz w:val="16"/>
                <w:szCs w:val="16"/>
              </w:rPr>
              <w:t>(400.468,98)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01DC5" w14:textId="77777777" w:rsidR="00FE0C5A" w:rsidRDefault="000C18DB" w:rsidP="00F113BD">
            <w:pPr>
              <w:spacing w:after="0"/>
              <w:jc w:val="right"/>
              <w:rPr>
                <w:rFonts w:eastAsia="Times New Roman"/>
              </w:rPr>
            </w:pPr>
            <w:r>
              <w:rPr>
                <w:rFonts w:ascii="Arial" w:eastAsia="Times New Roman" w:hAnsi="Arial" w:cs="Arial"/>
                <w:sz w:val="16"/>
                <w:szCs w:val="16"/>
              </w:rPr>
              <w:t>60.418.527,73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2D06D" w14:textId="77777777" w:rsidR="00FE0C5A" w:rsidRDefault="000C18DB" w:rsidP="00F113BD">
            <w:pPr>
              <w:spacing w:after="0"/>
              <w:jc w:val="right"/>
              <w:rPr>
                <w:rFonts w:eastAsia="Times New Roman"/>
              </w:rPr>
            </w:pPr>
            <w:r>
              <w:rPr>
                <w:rFonts w:ascii="Arial" w:eastAsia="Times New Roman" w:hAnsi="Arial" w:cs="Arial"/>
                <w:sz w:val="16"/>
                <w:szCs w:val="16"/>
              </w:rPr>
              <w:t>(604.185,28)</w:t>
            </w:r>
          </w:p>
        </w:tc>
      </w:tr>
      <w:tr w:rsidR="00FE0C5A" w14:paraId="7C263D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057185" w14:textId="77777777" w:rsidR="00FE0C5A" w:rsidRDefault="000C18DB" w:rsidP="00F113BD">
            <w:pPr>
              <w:spacing w:after="0"/>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0C4C0" w14:textId="77777777" w:rsidR="00FE0C5A" w:rsidRDefault="000C18DB" w:rsidP="00F113BD">
            <w:pPr>
              <w:spacing w:after="0"/>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8AD86" w14:textId="77777777" w:rsidR="00FE0C5A" w:rsidRDefault="000C18DB" w:rsidP="00F113BD">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5DB3A" w14:textId="77777777" w:rsidR="00FE0C5A" w:rsidRDefault="000C18DB" w:rsidP="00F113BD">
            <w:pPr>
              <w:spacing w:after="0"/>
              <w:jc w:val="right"/>
              <w:rPr>
                <w:rFonts w:eastAsia="Times New Roman"/>
              </w:rPr>
            </w:pPr>
            <w:r>
              <w:rPr>
                <w:rFonts w:ascii="Arial" w:eastAsia="Times New Roman" w:hAnsi="Arial" w:cs="Arial"/>
                <w:sz w:val="16"/>
                <w:szCs w:val="16"/>
              </w:rPr>
              <w:t>239.406,33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808F9"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D2E8B"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F6E88" w14:textId="77777777" w:rsidR="00FE0C5A" w:rsidRDefault="000C18DB" w:rsidP="00F113BD">
            <w:pPr>
              <w:spacing w:after="0"/>
              <w:jc w:val="right"/>
              <w:rPr>
                <w:rFonts w:eastAsia="Times New Roman"/>
              </w:rPr>
            </w:pPr>
            <w:r>
              <w:rPr>
                <w:rFonts w:ascii="Arial" w:eastAsia="Times New Roman" w:hAnsi="Arial" w:cs="Arial"/>
                <w:sz w:val="16"/>
                <w:szCs w:val="16"/>
              </w:rPr>
              <w:t>239.406,33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FF753" w14:textId="77777777" w:rsidR="00FE0C5A" w:rsidRDefault="000C18DB" w:rsidP="00F113BD">
            <w:pPr>
              <w:spacing w:after="0"/>
              <w:jc w:val="right"/>
              <w:rPr>
                <w:rFonts w:eastAsia="Times New Roman"/>
              </w:rPr>
            </w:pPr>
            <w:r>
              <w:rPr>
                <w:rFonts w:ascii="Arial" w:eastAsia="Times New Roman" w:hAnsi="Arial" w:cs="Arial"/>
                <w:sz w:val="16"/>
                <w:szCs w:val="16"/>
              </w:rPr>
              <w:t>(2.394,06)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01387" w14:textId="77777777" w:rsidR="00FE0C5A" w:rsidRDefault="000C18DB" w:rsidP="00F113BD">
            <w:pPr>
              <w:spacing w:after="0"/>
              <w:jc w:val="right"/>
              <w:rPr>
                <w:rFonts w:eastAsia="Times New Roman"/>
              </w:rPr>
            </w:pPr>
            <w:r>
              <w:rPr>
                <w:rFonts w:ascii="Arial" w:eastAsia="Times New Roman" w:hAnsi="Arial" w:cs="Arial"/>
                <w:sz w:val="16"/>
                <w:szCs w:val="16"/>
              </w:rPr>
              <w:t>544.984,75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9FCDB" w14:textId="77777777" w:rsidR="00FE0C5A" w:rsidRDefault="000C18DB" w:rsidP="00F113BD">
            <w:pPr>
              <w:spacing w:after="0"/>
              <w:jc w:val="right"/>
              <w:rPr>
                <w:rFonts w:eastAsia="Times New Roman"/>
              </w:rPr>
            </w:pPr>
            <w:r>
              <w:rPr>
                <w:rFonts w:ascii="Arial" w:eastAsia="Times New Roman" w:hAnsi="Arial" w:cs="Arial"/>
                <w:sz w:val="16"/>
                <w:szCs w:val="16"/>
              </w:rPr>
              <w:t>(5.449,85)</w:t>
            </w:r>
          </w:p>
        </w:tc>
      </w:tr>
      <w:tr w:rsidR="00FE0C5A" w14:paraId="6FFEEB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028BE5" w14:textId="77777777" w:rsidR="00FE0C5A" w:rsidRDefault="000C18DB" w:rsidP="00F113BD">
            <w:pPr>
              <w:spacing w:after="0"/>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DC9CE" w14:textId="77777777" w:rsidR="00FE0C5A" w:rsidRDefault="000C18DB" w:rsidP="00F113BD">
            <w:pPr>
              <w:spacing w:after="0"/>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38FBF" w14:textId="77777777" w:rsidR="00FE0C5A" w:rsidRDefault="000C18DB" w:rsidP="00F113BD">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E56CB" w14:textId="77777777" w:rsidR="00FE0C5A" w:rsidRDefault="000C18DB" w:rsidP="00F113BD">
            <w:pPr>
              <w:spacing w:after="0"/>
              <w:jc w:val="right"/>
              <w:rPr>
                <w:rFonts w:eastAsia="Times New Roman"/>
              </w:rPr>
            </w:pPr>
            <w:r>
              <w:rPr>
                <w:rFonts w:ascii="Arial" w:eastAsia="Times New Roman" w:hAnsi="Arial" w:cs="Arial"/>
                <w:sz w:val="16"/>
                <w:szCs w:val="16"/>
              </w:rPr>
              <w:t>10.496.843,88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4A3BA" w14:textId="77777777" w:rsidR="00FE0C5A" w:rsidRDefault="000C18DB" w:rsidP="00F113BD">
            <w:pPr>
              <w:spacing w:after="0"/>
              <w:jc w:val="right"/>
              <w:rPr>
                <w:rFonts w:eastAsia="Times New Roman"/>
              </w:rPr>
            </w:pPr>
            <w:r>
              <w:rPr>
                <w:rFonts w:ascii="Arial" w:eastAsia="Times New Roman" w:hAnsi="Arial" w:cs="Arial"/>
                <w:sz w:val="16"/>
                <w:szCs w:val="16"/>
              </w:rPr>
              <w:t>1.937.958,71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A0BAE" w14:textId="77777777" w:rsidR="00FE0C5A" w:rsidRDefault="000C18DB" w:rsidP="00F113BD">
            <w:pPr>
              <w:spacing w:after="0"/>
              <w:jc w:val="right"/>
              <w:rPr>
                <w:rFonts w:eastAsia="Times New Roman"/>
              </w:rPr>
            </w:pPr>
            <w:r>
              <w:rPr>
                <w:rFonts w:ascii="Arial" w:eastAsia="Times New Roman" w:hAnsi="Arial" w:cs="Arial"/>
                <w:sz w:val="16"/>
                <w:szCs w:val="16"/>
              </w:rPr>
              <w:t>1.478.628,69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F0ED1" w14:textId="77777777" w:rsidR="00FE0C5A" w:rsidRDefault="000C18DB" w:rsidP="00F113BD">
            <w:pPr>
              <w:spacing w:after="0"/>
              <w:jc w:val="right"/>
              <w:rPr>
                <w:rFonts w:eastAsia="Times New Roman"/>
              </w:rPr>
            </w:pPr>
            <w:r>
              <w:rPr>
                <w:rFonts w:ascii="Arial" w:eastAsia="Times New Roman" w:hAnsi="Arial" w:cs="Arial"/>
                <w:sz w:val="16"/>
                <w:szCs w:val="16"/>
              </w:rPr>
              <w:t>13.913.431,28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84477" w14:textId="77777777" w:rsidR="00FE0C5A" w:rsidRDefault="000C18DB" w:rsidP="00F113BD">
            <w:pPr>
              <w:spacing w:after="0"/>
              <w:jc w:val="right"/>
              <w:rPr>
                <w:rFonts w:eastAsia="Times New Roman"/>
              </w:rPr>
            </w:pPr>
            <w:r>
              <w:rPr>
                <w:rFonts w:ascii="Arial" w:eastAsia="Times New Roman" w:hAnsi="Arial" w:cs="Arial"/>
                <w:sz w:val="16"/>
                <w:szCs w:val="16"/>
              </w:rPr>
              <w:t>(417.402,94)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74938" w14:textId="77777777" w:rsidR="00FE0C5A" w:rsidRDefault="000C18DB" w:rsidP="00F113BD">
            <w:pPr>
              <w:spacing w:after="0"/>
              <w:jc w:val="right"/>
              <w:rPr>
                <w:rFonts w:eastAsia="Times New Roman"/>
              </w:rPr>
            </w:pPr>
            <w:r>
              <w:rPr>
                <w:rFonts w:ascii="Arial" w:eastAsia="Times New Roman" w:hAnsi="Arial" w:cs="Arial"/>
                <w:sz w:val="16"/>
                <w:szCs w:val="16"/>
              </w:rPr>
              <w:t>18.407.229,46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0C7D5" w14:textId="77777777" w:rsidR="00FE0C5A" w:rsidRDefault="000C18DB" w:rsidP="00F113BD">
            <w:pPr>
              <w:spacing w:after="0"/>
              <w:jc w:val="right"/>
              <w:rPr>
                <w:rFonts w:eastAsia="Times New Roman"/>
              </w:rPr>
            </w:pPr>
            <w:r>
              <w:rPr>
                <w:rFonts w:ascii="Arial" w:eastAsia="Times New Roman" w:hAnsi="Arial" w:cs="Arial"/>
                <w:sz w:val="16"/>
                <w:szCs w:val="16"/>
              </w:rPr>
              <w:t>(552.216,88)</w:t>
            </w:r>
          </w:p>
        </w:tc>
      </w:tr>
      <w:tr w:rsidR="00FE0C5A" w14:paraId="2699A4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A62500" w14:textId="77777777" w:rsidR="00FE0C5A" w:rsidRDefault="000C18DB" w:rsidP="00F113BD">
            <w:pPr>
              <w:spacing w:after="0"/>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63029" w14:textId="77777777" w:rsidR="00FE0C5A" w:rsidRDefault="000C18DB" w:rsidP="00F113BD">
            <w:pPr>
              <w:spacing w:after="0"/>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299D2" w14:textId="77777777" w:rsidR="00FE0C5A" w:rsidRDefault="000C18DB" w:rsidP="00F113BD">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3C9C1" w14:textId="77777777" w:rsidR="00FE0C5A" w:rsidRDefault="000C18DB" w:rsidP="00F113BD">
            <w:pPr>
              <w:spacing w:after="0"/>
              <w:jc w:val="right"/>
              <w:rPr>
                <w:rFonts w:eastAsia="Times New Roman"/>
              </w:rPr>
            </w:pPr>
            <w:r>
              <w:rPr>
                <w:rFonts w:ascii="Arial" w:eastAsia="Times New Roman" w:hAnsi="Arial" w:cs="Arial"/>
                <w:sz w:val="16"/>
                <w:szCs w:val="16"/>
              </w:rPr>
              <w:t>1.270.886,81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FE15B" w14:textId="77777777" w:rsidR="00FE0C5A" w:rsidRDefault="000C18DB" w:rsidP="00F113BD">
            <w:pPr>
              <w:spacing w:after="0"/>
              <w:jc w:val="right"/>
              <w:rPr>
                <w:rFonts w:eastAsia="Times New Roman"/>
              </w:rPr>
            </w:pPr>
            <w:r>
              <w:rPr>
                <w:rFonts w:ascii="Arial" w:eastAsia="Times New Roman" w:hAnsi="Arial" w:cs="Arial"/>
                <w:sz w:val="16"/>
                <w:szCs w:val="16"/>
              </w:rPr>
              <w:t>53.929,16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554A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D300E" w14:textId="77777777" w:rsidR="00FE0C5A" w:rsidRDefault="000C18DB" w:rsidP="00F113BD">
            <w:pPr>
              <w:spacing w:after="0"/>
              <w:jc w:val="right"/>
              <w:rPr>
                <w:rFonts w:eastAsia="Times New Roman"/>
              </w:rPr>
            </w:pPr>
            <w:r>
              <w:rPr>
                <w:rFonts w:ascii="Arial" w:eastAsia="Times New Roman" w:hAnsi="Arial" w:cs="Arial"/>
                <w:sz w:val="16"/>
                <w:szCs w:val="16"/>
              </w:rPr>
              <w:t>1.324.815,97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97B6D" w14:textId="77777777" w:rsidR="00FE0C5A" w:rsidRDefault="000C18DB" w:rsidP="00F113BD">
            <w:pPr>
              <w:spacing w:after="0"/>
              <w:jc w:val="right"/>
              <w:rPr>
                <w:rFonts w:eastAsia="Times New Roman"/>
              </w:rPr>
            </w:pPr>
            <w:r>
              <w:rPr>
                <w:rFonts w:ascii="Arial" w:eastAsia="Times New Roman" w:hAnsi="Arial" w:cs="Arial"/>
                <w:sz w:val="16"/>
                <w:szCs w:val="16"/>
              </w:rPr>
              <w:t>(39.744,48)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0E57B" w14:textId="77777777" w:rsidR="00FE0C5A" w:rsidRDefault="000C18DB" w:rsidP="00F113BD">
            <w:pPr>
              <w:spacing w:after="0"/>
              <w:jc w:val="right"/>
              <w:rPr>
                <w:rFonts w:eastAsia="Times New Roman"/>
              </w:rPr>
            </w:pPr>
            <w:r>
              <w:rPr>
                <w:rFonts w:ascii="Arial" w:eastAsia="Times New Roman" w:hAnsi="Arial" w:cs="Arial"/>
                <w:sz w:val="16"/>
                <w:szCs w:val="16"/>
              </w:rPr>
              <w:t>337.964,62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07448" w14:textId="77777777" w:rsidR="00FE0C5A" w:rsidRDefault="000C18DB" w:rsidP="00F113BD">
            <w:pPr>
              <w:spacing w:after="0"/>
              <w:jc w:val="right"/>
              <w:rPr>
                <w:rFonts w:eastAsia="Times New Roman"/>
              </w:rPr>
            </w:pPr>
            <w:r>
              <w:rPr>
                <w:rFonts w:ascii="Arial" w:eastAsia="Times New Roman" w:hAnsi="Arial" w:cs="Arial"/>
                <w:sz w:val="16"/>
                <w:szCs w:val="16"/>
              </w:rPr>
              <w:t>(10.138,94)</w:t>
            </w:r>
          </w:p>
        </w:tc>
      </w:tr>
      <w:tr w:rsidR="00FE0C5A" w14:paraId="07B7A4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44F0BD" w14:textId="77777777" w:rsidR="00FE0C5A" w:rsidRDefault="000C18DB" w:rsidP="00F113BD">
            <w:pPr>
              <w:spacing w:after="0"/>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46886" w14:textId="77777777" w:rsidR="00FE0C5A" w:rsidRDefault="000C18DB" w:rsidP="00F113BD">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AC773" w14:textId="77777777" w:rsidR="00FE0C5A" w:rsidRDefault="000C18DB" w:rsidP="00F113BD">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280C3" w14:textId="77777777" w:rsidR="00FE0C5A" w:rsidRDefault="000C18DB" w:rsidP="00F113BD">
            <w:pPr>
              <w:spacing w:after="0"/>
              <w:jc w:val="right"/>
              <w:rPr>
                <w:rFonts w:eastAsia="Times New Roman"/>
              </w:rPr>
            </w:pPr>
            <w:r>
              <w:rPr>
                <w:rFonts w:ascii="Arial" w:eastAsia="Times New Roman" w:hAnsi="Arial" w:cs="Arial"/>
                <w:sz w:val="16"/>
                <w:szCs w:val="16"/>
              </w:rPr>
              <w:t>3.151.470,94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28797" w14:textId="77777777" w:rsidR="00FE0C5A" w:rsidRDefault="000C18DB" w:rsidP="00F113BD">
            <w:pPr>
              <w:spacing w:after="0"/>
              <w:jc w:val="right"/>
              <w:rPr>
                <w:rFonts w:eastAsia="Times New Roman"/>
              </w:rPr>
            </w:pPr>
            <w:r>
              <w:rPr>
                <w:rFonts w:ascii="Arial" w:eastAsia="Times New Roman" w:hAnsi="Arial" w:cs="Arial"/>
                <w:sz w:val="16"/>
                <w:szCs w:val="16"/>
              </w:rPr>
              <w:t>400.512,19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88206" w14:textId="77777777" w:rsidR="00FE0C5A" w:rsidRDefault="000C18DB" w:rsidP="00F113BD">
            <w:pPr>
              <w:spacing w:after="0"/>
              <w:jc w:val="right"/>
              <w:rPr>
                <w:rFonts w:eastAsia="Times New Roman"/>
              </w:rPr>
            </w:pPr>
            <w:r>
              <w:rPr>
                <w:rFonts w:ascii="Arial" w:eastAsia="Times New Roman" w:hAnsi="Arial" w:cs="Arial"/>
                <w:sz w:val="16"/>
                <w:szCs w:val="16"/>
              </w:rPr>
              <w:t>239.285,49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0F5AB" w14:textId="77777777" w:rsidR="00FE0C5A" w:rsidRDefault="000C18DB" w:rsidP="00F113BD">
            <w:pPr>
              <w:spacing w:after="0"/>
              <w:jc w:val="right"/>
              <w:rPr>
                <w:rFonts w:eastAsia="Times New Roman"/>
              </w:rPr>
            </w:pPr>
            <w:r>
              <w:rPr>
                <w:rFonts w:ascii="Arial" w:eastAsia="Times New Roman" w:hAnsi="Arial" w:cs="Arial"/>
                <w:sz w:val="16"/>
                <w:szCs w:val="16"/>
              </w:rPr>
              <w:t>3.791.268,62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DAAFE" w14:textId="77777777" w:rsidR="00FE0C5A" w:rsidRDefault="000C18DB" w:rsidP="00F113BD">
            <w:pPr>
              <w:spacing w:after="0"/>
              <w:jc w:val="right"/>
              <w:rPr>
                <w:rFonts w:eastAsia="Times New Roman"/>
              </w:rPr>
            </w:pPr>
            <w:r>
              <w:rPr>
                <w:rFonts w:ascii="Arial" w:eastAsia="Times New Roman" w:hAnsi="Arial" w:cs="Arial"/>
                <w:sz w:val="16"/>
                <w:szCs w:val="16"/>
              </w:rPr>
              <w:t>(379.126,86)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58E25" w14:textId="77777777" w:rsidR="00FE0C5A" w:rsidRDefault="000C18DB" w:rsidP="00F113BD">
            <w:pPr>
              <w:spacing w:after="0"/>
              <w:jc w:val="right"/>
              <w:rPr>
                <w:rFonts w:eastAsia="Times New Roman"/>
              </w:rPr>
            </w:pPr>
            <w:r>
              <w:rPr>
                <w:rFonts w:ascii="Arial" w:eastAsia="Times New Roman" w:hAnsi="Arial" w:cs="Arial"/>
                <w:sz w:val="16"/>
                <w:szCs w:val="16"/>
              </w:rPr>
              <w:t>1.943.014,14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AD9EF" w14:textId="77777777" w:rsidR="00FE0C5A" w:rsidRDefault="000C18DB" w:rsidP="00F113BD">
            <w:pPr>
              <w:spacing w:after="0"/>
              <w:jc w:val="right"/>
              <w:rPr>
                <w:rFonts w:eastAsia="Times New Roman"/>
              </w:rPr>
            </w:pPr>
            <w:r>
              <w:rPr>
                <w:rFonts w:ascii="Arial" w:eastAsia="Times New Roman" w:hAnsi="Arial" w:cs="Arial"/>
                <w:sz w:val="16"/>
                <w:szCs w:val="16"/>
              </w:rPr>
              <w:t>(194.301,41)</w:t>
            </w:r>
          </w:p>
        </w:tc>
      </w:tr>
      <w:tr w:rsidR="00FE0C5A" w14:paraId="44E132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29EF23" w14:textId="77777777" w:rsidR="00FE0C5A" w:rsidRDefault="000C18DB" w:rsidP="00F113BD">
            <w:pPr>
              <w:spacing w:after="0"/>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7D9A6" w14:textId="77777777" w:rsidR="00FE0C5A" w:rsidRDefault="000C18DB" w:rsidP="00F113BD">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5772B" w14:textId="77777777" w:rsidR="00FE0C5A" w:rsidRDefault="000C18DB" w:rsidP="00F113BD">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97980" w14:textId="77777777" w:rsidR="00FE0C5A" w:rsidRDefault="000C18DB" w:rsidP="00F113BD">
            <w:pPr>
              <w:spacing w:after="0"/>
              <w:jc w:val="right"/>
              <w:rPr>
                <w:rFonts w:eastAsia="Times New Roman"/>
              </w:rPr>
            </w:pPr>
            <w:r>
              <w:rPr>
                <w:rFonts w:ascii="Arial" w:eastAsia="Times New Roman" w:hAnsi="Arial" w:cs="Arial"/>
                <w:sz w:val="16"/>
                <w:szCs w:val="16"/>
              </w:rPr>
              <w:t>394.787,96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6FBEA" w14:textId="77777777" w:rsidR="00FE0C5A" w:rsidRDefault="000C18DB" w:rsidP="00F113BD">
            <w:pPr>
              <w:spacing w:after="0"/>
              <w:jc w:val="right"/>
              <w:rPr>
                <w:rFonts w:eastAsia="Times New Roman"/>
              </w:rPr>
            </w:pPr>
            <w:r>
              <w:rPr>
                <w:rFonts w:ascii="Arial" w:eastAsia="Times New Roman" w:hAnsi="Arial" w:cs="Arial"/>
                <w:sz w:val="16"/>
                <w:szCs w:val="16"/>
              </w:rPr>
              <w:t>29.021,48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B26B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9D543" w14:textId="77777777" w:rsidR="00FE0C5A" w:rsidRDefault="000C18DB" w:rsidP="00F113BD">
            <w:pPr>
              <w:spacing w:after="0"/>
              <w:jc w:val="right"/>
              <w:rPr>
                <w:rFonts w:eastAsia="Times New Roman"/>
              </w:rPr>
            </w:pPr>
            <w:r>
              <w:rPr>
                <w:rFonts w:ascii="Arial" w:eastAsia="Times New Roman" w:hAnsi="Arial" w:cs="Arial"/>
                <w:sz w:val="16"/>
                <w:szCs w:val="16"/>
              </w:rPr>
              <w:t>423.809,44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73272" w14:textId="77777777" w:rsidR="00FE0C5A" w:rsidRDefault="000C18DB" w:rsidP="00F113BD">
            <w:pPr>
              <w:spacing w:after="0"/>
              <w:jc w:val="right"/>
              <w:rPr>
                <w:rFonts w:eastAsia="Times New Roman"/>
              </w:rPr>
            </w:pPr>
            <w:r>
              <w:rPr>
                <w:rFonts w:ascii="Arial" w:eastAsia="Times New Roman" w:hAnsi="Arial" w:cs="Arial"/>
                <w:sz w:val="16"/>
                <w:szCs w:val="16"/>
              </w:rPr>
              <w:t>(42.380,94)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727B7" w14:textId="77777777" w:rsidR="00FE0C5A" w:rsidRDefault="000C18DB" w:rsidP="00F113BD">
            <w:pPr>
              <w:spacing w:after="0"/>
              <w:jc w:val="right"/>
              <w:rPr>
                <w:rFonts w:eastAsia="Times New Roman"/>
              </w:rPr>
            </w:pPr>
            <w:r>
              <w:rPr>
                <w:rFonts w:ascii="Arial" w:eastAsia="Times New Roman" w:hAnsi="Arial" w:cs="Arial"/>
                <w:sz w:val="16"/>
                <w:szCs w:val="16"/>
              </w:rPr>
              <w:t>304.556,82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B6B54" w14:textId="77777777" w:rsidR="00FE0C5A" w:rsidRDefault="000C18DB" w:rsidP="00F113BD">
            <w:pPr>
              <w:spacing w:after="0"/>
              <w:jc w:val="right"/>
              <w:rPr>
                <w:rFonts w:eastAsia="Times New Roman"/>
              </w:rPr>
            </w:pPr>
            <w:r>
              <w:rPr>
                <w:rFonts w:ascii="Arial" w:eastAsia="Times New Roman" w:hAnsi="Arial" w:cs="Arial"/>
                <w:sz w:val="16"/>
                <w:szCs w:val="16"/>
              </w:rPr>
              <w:t>(30.455,68)</w:t>
            </w:r>
          </w:p>
        </w:tc>
      </w:tr>
      <w:tr w:rsidR="00FE0C5A" w14:paraId="47A797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66F902" w14:textId="77777777" w:rsidR="00FE0C5A" w:rsidRDefault="000C18DB" w:rsidP="00F113BD">
            <w:pPr>
              <w:spacing w:after="0"/>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B71FC" w14:textId="77777777" w:rsidR="00FE0C5A" w:rsidRDefault="000C18DB" w:rsidP="00F113BD">
            <w:pPr>
              <w:spacing w:after="0"/>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0831F" w14:textId="77777777" w:rsidR="00FE0C5A" w:rsidRDefault="000C18DB" w:rsidP="00F113BD">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32D67" w14:textId="77777777" w:rsidR="00FE0C5A" w:rsidRDefault="000C18DB" w:rsidP="00F113BD">
            <w:pPr>
              <w:spacing w:after="0"/>
              <w:jc w:val="right"/>
              <w:rPr>
                <w:rFonts w:eastAsia="Times New Roman"/>
              </w:rPr>
            </w:pPr>
            <w:r>
              <w:rPr>
                <w:rFonts w:ascii="Arial" w:eastAsia="Times New Roman" w:hAnsi="Arial" w:cs="Arial"/>
                <w:sz w:val="16"/>
                <w:szCs w:val="16"/>
              </w:rPr>
              <w:t>559.642,92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1AD0B" w14:textId="77777777" w:rsidR="00FE0C5A" w:rsidRDefault="000C18DB" w:rsidP="00F113BD">
            <w:pPr>
              <w:spacing w:after="0"/>
              <w:jc w:val="right"/>
              <w:rPr>
                <w:rFonts w:eastAsia="Times New Roman"/>
              </w:rPr>
            </w:pPr>
            <w:r>
              <w:rPr>
                <w:rFonts w:ascii="Arial" w:eastAsia="Times New Roman" w:hAnsi="Arial" w:cs="Arial"/>
                <w:sz w:val="16"/>
                <w:szCs w:val="16"/>
              </w:rPr>
              <w:t>153.508,18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87D08" w14:textId="77777777" w:rsidR="00FE0C5A" w:rsidRDefault="000C18DB" w:rsidP="00F113BD">
            <w:pPr>
              <w:spacing w:after="0"/>
              <w:jc w:val="right"/>
              <w:rPr>
                <w:rFonts w:eastAsia="Times New Roman"/>
              </w:rPr>
            </w:pPr>
            <w:r>
              <w:rPr>
                <w:rFonts w:ascii="Arial" w:eastAsia="Times New Roman" w:hAnsi="Arial" w:cs="Arial"/>
                <w:sz w:val="16"/>
                <w:szCs w:val="16"/>
              </w:rPr>
              <w:t>31.754,24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13CF2" w14:textId="77777777" w:rsidR="00FE0C5A" w:rsidRDefault="000C18DB" w:rsidP="00F113BD">
            <w:pPr>
              <w:spacing w:after="0"/>
              <w:jc w:val="right"/>
              <w:rPr>
                <w:rFonts w:eastAsia="Times New Roman"/>
              </w:rPr>
            </w:pPr>
            <w:r>
              <w:rPr>
                <w:rFonts w:ascii="Arial" w:eastAsia="Times New Roman" w:hAnsi="Arial" w:cs="Arial"/>
                <w:sz w:val="16"/>
                <w:szCs w:val="16"/>
              </w:rPr>
              <w:t>744.905,34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C1417" w14:textId="77777777" w:rsidR="00FE0C5A" w:rsidRDefault="000C18DB" w:rsidP="00F113BD">
            <w:pPr>
              <w:spacing w:after="0"/>
              <w:jc w:val="right"/>
              <w:rPr>
                <w:rFonts w:eastAsia="Times New Roman"/>
              </w:rPr>
            </w:pPr>
            <w:r>
              <w:rPr>
                <w:rFonts w:ascii="Arial" w:eastAsia="Times New Roman" w:hAnsi="Arial" w:cs="Arial"/>
                <w:sz w:val="16"/>
                <w:szCs w:val="16"/>
              </w:rPr>
              <w:t>(223.471,60)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B79B7" w14:textId="77777777" w:rsidR="00FE0C5A" w:rsidRDefault="000C18DB" w:rsidP="00F113BD">
            <w:pPr>
              <w:spacing w:after="0"/>
              <w:jc w:val="right"/>
              <w:rPr>
                <w:rFonts w:eastAsia="Times New Roman"/>
              </w:rPr>
            </w:pPr>
            <w:r>
              <w:rPr>
                <w:rFonts w:ascii="Arial" w:eastAsia="Times New Roman" w:hAnsi="Arial" w:cs="Arial"/>
                <w:sz w:val="16"/>
                <w:szCs w:val="16"/>
              </w:rPr>
              <w:t>919.347,69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946A2" w14:textId="77777777" w:rsidR="00FE0C5A" w:rsidRDefault="000C18DB" w:rsidP="00F113BD">
            <w:pPr>
              <w:spacing w:after="0"/>
              <w:jc w:val="right"/>
              <w:rPr>
                <w:rFonts w:eastAsia="Times New Roman"/>
              </w:rPr>
            </w:pPr>
            <w:r>
              <w:rPr>
                <w:rFonts w:ascii="Arial" w:eastAsia="Times New Roman" w:hAnsi="Arial" w:cs="Arial"/>
                <w:sz w:val="16"/>
                <w:szCs w:val="16"/>
              </w:rPr>
              <w:t>(275.804,31)</w:t>
            </w:r>
          </w:p>
        </w:tc>
      </w:tr>
      <w:tr w:rsidR="00FE0C5A" w14:paraId="2A74D9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5BDF7E" w14:textId="77777777" w:rsidR="00FE0C5A" w:rsidRDefault="000C18DB" w:rsidP="00F113BD">
            <w:pPr>
              <w:spacing w:after="0"/>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99699" w14:textId="77777777" w:rsidR="00FE0C5A" w:rsidRDefault="000C18DB" w:rsidP="00F113BD">
            <w:pPr>
              <w:spacing w:after="0"/>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363C3" w14:textId="77777777" w:rsidR="00FE0C5A" w:rsidRDefault="000C18DB" w:rsidP="00F113BD">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73D88" w14:textId="77777777" w:rsidR="00FE0C5A" w:rsidRDefault="000C18DB" w:rsidP="00F113BD">
            <w:pPr>
              <w:spacing w:after="0"/>
              <w:jc w:val="right"/>
              <w:rPr>
                <w:rFonts w:eastAsia="Times New Roman"/>
              </w:rPr>
            </w:pPr>
            <w:r>
              <w:rPr>
                <w:rFonts w:ascii="Arial" w:eastAsia="Times New Roman" w:hAnsi="Arial" w:cs="Arial"/>
                <w:sz w:val="16"/>
                <w:szCs w:val="16"/>
              </w:rPr>
              <w:t>590.118,99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05077"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BB8B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99234" w14:textId="77777777" w:rsidR="00FE0C5A" w:rsidRDefault="000C18DB" w:rsidP="00F113BD">
            <w:pPr>
              <w:spacing w:after="0"/>
              <w:jc w:val="right"/>
              <w:rPr>
                <w:rFonts w:eastAsia="Times New Roman"/>
              </w:rPr>
            </w:pPr>
            <w:r>
              <w:rPr>
                <w:rFonts w:ascii="Arial" w:eastAsia="Times New Roman" w:hAnsi="Arial" w:cs="Arial"/>
                <w:sz w:val="16"/>
                <w:szCs w:val="16"/>
              </w:rPr>
              <w:t>590.118,99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AB34E" w14:textId="77777777" w:rsidR="00FE0C5A" w:rsidRDefault="000C18DB" w:rsidP="00F113BD">
            <w:pPr>
              <w:spacing w:after="0"/>
              <w:jc w:val="right"/>
              <w:rPr>
                <w:rFonts w:eastAsia="Times New Roman"/>
              </w:rPr>
            </w:pPr>
            <w:r>
              <w:rPr>
                <w:rFonts w:ascii="Arial" w:eastAsia="Times New Roman" w:hAnsi="Arial" w:cs="Arial"/>
                <w:sz w:val="16"/>
                <w:szCs w:val="16"/>
              </w:rPr>
              <w:t>(177.035,70)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D65B7" w14:textId="77777777" w:rsidR="00FE0C5A" w:rsidRDefault="000C18DB" w:rsidP="00F113BD">
            <w:pPr>
              <w:spacing w:after="0"/>
              <w:jc w:val="right"/>
              <w:rPr>
                <w:rFonts w:eastAsia="Times New Roman"/>
              </w:rPr>
            </w:pPr>
            <w:r>
              <w:rPr>
                <w:rFonts w:ascii="Arial" w:eastAsia="Times New Roman" w:hAnsi="Arial" w:cs="Arial"/>
                <w:sz w:val="16"/>
                <w:szCs w:val="16"/>
              </w:rPr>
              <w:t>216.272,76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40806" w14:textId="77777777" w:rsidR="00FE0C5A" w:rsidRDefault="000C18DB" w:rsidP="00F113BD">
            <w:pPr>
              <w:spacing w:after="0"/>
              <w:jc w:val="right"/>
              <w:rPr>
                <w:rFonts w:eastAsia="Times New Roman"/>
              </w:rPr>
            </w:pPr>
            <w:r>
              <w:rPr>
                <w:rFonts w:ascii="Arial" w:eastAsia="Times New Roman" w:hAnsi="Arial" w:cs="Arial"/>
                <w:sz w:val="16"/>
                <w:szCs w:val="16"/>
              </w:rPr>
              <w:t>(64.881,83)</w:t>
            </w:r>
          </w:p>
        </w:tc>
      </w:tr>
      <w:tr w:rsidR="00FE0C5A" w14:paraId="2A4FAB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D343B0" w14:textId="77777777" w:rsidR="00FE0C5A" w:rsidRDefault="000C18DB" w:rsidP="00F113BD">
            <w:pPr>
              <w:spacing w:after="0"/>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8B112" w14:textId="77777777" w:rsidR="00FE0C5A" w:rsidRDefault="000C18DB" w:rsidP="00F113BD">
            <w:pPr>
              <w:spacing w:after="0"/>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DDC3B" w14:textId="77777777" w:rsidR="00FE0C5A" w:rsidRDefault="000C18DB" w:rsidP="00F113BD">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66AFE" w14:textId="77777777" w:rsidR="00FE0C5A" w:rsidRDefault="000C18DB" w:rsidP="00F113BD">
            <w:pPr>
              <w:spacing w:after="0"/>
              <w:jc w:val="right"/>
              <w:rPr>
                <w:rFonts w:eastAsia="Times New Roman"/>
              </w:rPr>
            </w:pPr>
            <w:r>
              <w:rPr>
                <w:rFonts w:ascii="Arial" w:eastAsia="Times New Roman" w:hAnsi="Arial" w:cs="Arial"/>
                <w:sz w:val="16"/>
                <w:szCs w:val="16"/>
              </w:rPr>
              <w:t>573.607,18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38EE2" w14:textId="77777777" w:rsidR="00FE0C5A" w:rsidRDefault="000C18DB" w:rsidP="00F113BD">
            <w:pPr>
              <w:spacing w:after="0"/>
              <w:jc w:val="right"/>
              <w:rPr>
                <w:rFonts w:eastAsia="Times New Roman"/>
              </w:rPr>
            </w:pPr>
            <w:r>
              <w:rPr>
                <w:rFonts w:ascii="Arial" w:eastAsia="Times New Roman" w:hAnsi="Arial" w:cs="Arial"/>
                <w:sz w:val="16"/>
                <w:szCs w:val="16"/>
              </w:rPr>
              <w:t>234.412,44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D413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B3E35" w14:textId="77777777" w:rsidR="00FE0C5A" w:rsidRDefault="000C18DB" w:rsidP="00F113BD">
            <w:pPr>
              <w:spacing w:after="0"/>
              <w:jc w:val="right"/>
              <w:rPr>
                <w:rFonts w:eastAsia="Times New Roman"/>
              </w:rPr>
            </w:pPr>
            <w:r>
              <w:rPr>
                <w:rFonts w:ascii="Arial" w:eastAsia="Times New Roman" w:hAnsi="Arial" w:cs="Arial"/>
                <w:sz w:val="16"/>
                <w:szCs w:val="16"/>
              </w:rPr>
              <w:t>808.019,62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E5AAF" w14:textId="77777777" w:rsidR="00FE0C5A" w:rsidRDefault="000C18DB" w:rsidP="00F113BD">
            <w:pPr>
              <w:spacing w:after="0"/>
              <w:jc w:val="right"/>
              <w:rPr>
                <w:rFonts w:eastAsia="Times New Roman"/>
              </w:rPr>
            </w:pPr>
            <w:r>
              <w:rPr>
                <w:rFonts w:ascii="Arial" w:eastAsia="Times New Roman" w:hAnsi="Arial" w:cs="Arial"/>
                <w:sz w:val="16"/>
                <w:szCs w:val="16"/>
              </w:rPr>
              <w:t>(404.009,81)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9C6D7" w14:textId="77777777" w:rsidR="00FE0C5A" w:rsidRDefault="000C18DB" w:rsidP="00F113BD">
            <w:pPr>
              <w:spacing w:after="0"/>
              <w:jc w:val="right"/>
              <w:rPr>
                <w:rFonts w:eastAsia="Times New Roman"/>
              </w:rPr>
            </w:pPr>
            <w:r>
              <w:rPr>
                <w:rFonts w:ascii="Arial" w:eastAsia="Times New Roman" w:hAnsi="Arial" w:cs="Arial"/>
                <w:sz w:val="16"/>
                <w:szCs w:val="16"/>
              </w:rPr>
              <w:t>594.412,66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DE2BA" w14:textId="77777777" w:rsidR="00FE0C5A" w:rsidRDefault="000C18DB" w:rsidP="00F113BD">
            <w:pPr>
              <w:spacing w:after="0"/>
              <w:jc w:val="right"/>
              <w:rPr>
                <w:rFonts w:eastAsia="Times New Roman"/>
              </w:rPr>
            </w:pPr>
            <w:r>
              <w:rPr>
                <w:rFonts w:ascii="Arial" w:eastAsia="Times New Roman" w:hAnsi="Arial" w:cs="Arial"/>
                <w:sz w:val="16"/>
                <w:szCs w:val="16"/>
              </w:rPr>
              <w:t>(297.206,33)</w:t>
            </w:r>
          </w:p>
        </w:tc>
      </w:tr>
      <w:tr w:rsidR="00FE0C5A" w14:paraId="5AFFA6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60DA86" w14:textId="77777777" w:rsidR="00FE0C5A" w:rsidRDefault="000C18DB" w:rsidP="00F113BD">
            <w:pPr>
              <w:spacing w:after="0"/>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C1C40" w14:textId="77777777" w:rsidR="00FE0C5A" w:rsidRDefault="000C18DB" w:rsidP="00F113BD">
            <w:pPr>
              <w:spacing w:after="0"/>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4875C" w14:textId="77777777" w:rsidR="00FE0C5A" w:rsidRDefault="000C18DB" w:rsidP="00F113BD">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9B288" w14:textId="77777777" w:rsidR="00FE0C5A" w:rsidRDefault="000C18DB" w:rsidP="00F113BD">
            <w:pPr>
              <w:spacing w:after="0"/>
              <w:jc w:val="right"/>
              <w:rPr>
                <w:rFonts w:eastAsia="Times New Roman"/>
              </w:rPr>
            </w:pPr>
            <w:r>
              <w:rPr>
                <w:rFonts w:ascii="Arial" w:eastAsia="Times New Roman" w:hAnsi="Arial" w:cs="Arial"/>
                <w:sz w:val="16"/>
                <w:szCs w:val="16"/>
              </w:rPr>
              <w:t>399.809,37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2EAA5" w14:textId="77777777" w:rsidR="00FE0C5A" w:rsidRDefault="000C18DB" w:rsidP="00F113BD">
            <w:pPr>
              <w:spacing w:after="0"/>
              <w:jc w:val="right"/>
              <w:rPr>
                <w:rFonts w:eastAsia="Times New Roman"/>
              </w:rPr>
            </w:pPr>
            <w:r>
              <w:rPr>
                <w:rFonts w:ascii="Arial" w:eastAsia="Times New Roman" w:hAnsi="Arial" w:cs="Arial"/>
                <w:sz w:val="16"/>
                <w:szCs w:val="16"/>
              </w:rPr>
              <w:t>129.430,65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06A40" w14:textId="77777777" w:rsidR="00FE0C5A" w:rsidRDefault="000C18DB" w:rsidP="00F113BD">
            <w:pPr>
              <w:spacing w:after="0"/>
              <w:jc w:val="right"/>
              <w:rPr>
                <w:rFonts w:eastAsia="Times New Roman"/>
              </w:rPr>
            </w:pPr>
            <w:r>
              <w:rPr>
                <w:rFonts w:ascii="Arial" w:eastAsia="Times New Roman" w:hAnsi="Arial" w:cs="Arial"/>
                <w:sz w:val="16"/>
                <w:szCs w:val="16"/>
              </w:rPr>
              <w:t>58.666,44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D677" w14:textId="77777777" w:rsidR="00FE0C5A" w:rsidRDefault="000C18DB" w:rsidP="00F113BD">
            <w:pPr>
              <w:spacing w:after="0"/>
              <w:jc w:val="right"/>
              <w:rPr>
                <w:rFonts w:eastAsia="Times New Roman"/>
              </w:rPr>
            </w:pPr>
            <w:r>
              <w:rPr>
                <w:rFonts w:ascii="Arial" w:eastAsia="Times New Roman" w:hAnsi="Arial" w:cs="Arial"/>
                <w:sz w:val="16"/>
                <w:szCs w:val="16"/>
              </w:rPr>
              <w:t>587.906,46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87C6E" w14:textId="77777777" w:rsidR="00FE0C5A" w:rsidRDefault="000C18DB" w:rsidP="00F113BD">
            <w:pPr>
              <w:spacing w:after="0"/>
              <w:jc w:val="right"/>
              <w:rPr>
                <w:rFonts w:eastAsia="Times New Roman"/>
              </w:rPr>
            </w:pPr>
            <w:r>
              <w:rPr>
                <w:rFonts w:ascii="Arial" w:eastAsia="Times New Roman" w:hAnsi="Arial" w:cs="Arial"/>
                <w:sz w:val="16"/>
                <w:szCs w:val="16"/>
              </w:rPr>
              <w:t>(293.953,23)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A62B3" w14:textId="77777777" w:rsidR="00FE0C5A" w:rsidRDefault="000C18DB" w:rsidP="00F113BD">
            <w:pPr>
              <w:spacing w:after="0"/>
              <w:jc w:val="right"/>
              <w:rPr>
                <w:rFonts w:eastAsia="Times New Roman"/>
              </w:rPr>
            </w:pPr>
            <w:r>
              <w:rPr>
                <w:rFonts w:ascii="Arial" w:eastAsia="Times New Roman" w:hAnsi="Arial" w:cs="Arial"/>
                <w:sz w:val="16"/>
                <w:szCs w:val="16"/>
              </w:rPr>
              <w:t>228.199,87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94599" w14:textId="77777777" w:rsidR="00FE0C5A" w:rsidRDefault="000C18DB" w:rsidP="00F113BD">
            <w:pPr>
              <w:spacing w:after="0"/>
              <w:jc w:val="right"/>
              <w:rPr>
                <w:rFonts w:eastAsia="Times New Roman"/>
              </w:rPr>
            </w:pPr>
            <w:r>
              <w:rPr>
                <w:rFonts w:ascii="Arial" w:eastAsia="Times New Roman" w:hAnsi="Arial" w:cs="Arial"/>
                <w:sz w:val="16"/>
                <w:szCs w:val="16"/>
              </w:rPr>
              <w:t>(114.099,94)</w:t>
            </w:r>
          </w:p>
        </w:tc>
      </w:tr>
      <w:tr w:rsidR="00FE0C5A" w14:paraId="779522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A40F0A" w14:textId="77777777" w:rsidR="00FE0C5A" w:rsidRDefault="000C18DB" w:rsidP="00F113BD">
            <w:pPr>
              <w:spacing w:after="0"/>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1BA7D" w14:textId="77777777" w:rsidR="00FE0C5A" w:rsidRDefault="000C18DB" w:rsidP="00F113BD">
            <w:pPr>
              <w:spacing w:after="0"/>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C2EAA" w14:textId="77777777" w:rsidR="00FE0C5A" w:rsidRDefault="000C18DB" w:rsidP="00F113BD">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7271F" w14:textId="77777777" w:rsidR="00FE0C5A" w:rsidRDefault="000C18DB" w:rsidP="00F113BD">
            <w:pPr>
              <w:spacing w:after="0"/>
              <w:jc w:val="right"/>
              <w:rPr>
                <w:rFonts w:eastAsia="Times New Roman"/>
              </w:rPr>
            </w:pPr>
            <w:r>
              <w:rPr>
                <w:rFonts w:ascii="Arial" w:eastAsia="Times New Roman" w:hAnsi="Arial" w:cs="Arial"/>
                <w:sz w:val="16"/>
                <w:szCs w:val="16"/>
              </w:rPr>
              <w:t>204.198,00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4914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703E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E71DC" w14:textId="77777777" w:rsidR="00FE0C5A" w:rsidRDefault="000C18DB" w:rsidP="00F113BD">
            <w:pPr>
              <w:spacing w:after="0"/>
              <w:jc w:val="right"/>
              <w:rPr>
                <w:rFonts w:eastAsia="Times New Roman"/>
              </w:rPr>
            </w:pPr>
            <w:r>
              <w:rPr>
                <w:rFonts w:ascii="Arial" w:eastAsia="Times New Roman" w:hAnsi="Arial" w:cs="Arial"/>
                <w:sz w:val="16"/>
                <w:szCs w:val="16"/>
              </w:rPr>
              <w:t>204.198,00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31229" w14:textId="77777777" w:rsidR="00FE0C5A" w:rsidRDefault="000C18DB" w:rsidP="00F113BD">
            <w:pPr>
              <w:spacing w:after="0"/>
              <w:jc w:val="right"/>
              <w:rPr>
                <w:rFonts w:eastAsia="Times New Roman"/>
              </w:rPr>
            </w:pPr>
            <w:r>
              <w:rPr>
                <w:rFonts w:ascii="Arial" w:eastAsia="Times New Roman" w:hAnsi="Arial" w:cs="Arial"/>
                <w:sz w:val="16"/>
                <w:szCs w:val="16"/>
              </w:rPr>
              <w:t>(142.938,60)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C97DF" w14:textId="77777777" w:rsidR="00FE0C5A" w:rsidRDefault="000C18DB" w:rsidP="00F113BD">
            <w:pPr>
              <w:spacing w:after="0"/>
              <w:jc w:val="right"/>
              <w:rPr>
                <w:rFonts w:eastAsia="Times New Roman"/>
              </w:rPr>
            </w:pPr>
            <w:r>
              <w:rPr>
                <w:rFonts w:ascii="Arial" w:eastAsia="Times New Roman" w:hAnsi="Arial" w:cs="Arial"/>
                <w:sz w:val="16"/>
                <w:szCs w:val="16"/>
              </w:rPr>
              <w:t>81.131,35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B0BEC" w14:textId="77777777" w:rsidR="00FE0C5A" w:rsidRDefault="000C18DB" w:rsidP="00F113BD">
            <w:pPr>
              <w:spacing w:after="0"/>
              <w:jc w:val="right"/>
              <w:rPr>
                <w:rFonts w:eastAsia="Times New Roman"/>
              </w:rPr>
            </w:pPr>
            <w:r>
              <w:rPr>
                <w:rFonts w:ascii="Arial" w:eastAsia="Times New Roman" w:hAnsi="Arial" w:cs="Arial"/>
                <w:sz w:val="16"/>
                <w:szCs w:val="16"/>
              </w:rPr>
              <w:t>(56.791,95)</w:t>
            </w:r>
          </w:p>
        </w:tc>
      </w:tr>
      <w:tr w:rsidR="00FE0C5A" w14:paraId="67D81E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507A1F" w14:textId="77777777" w:rsidR="00FE0C5A" w:rsidRDefault="000C18DB" w:rsidP="00F113BD">
            <w:pPr>
              <w:spacing w:after="0"/>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9D4FF" w14:textId="77777777" w:rsidR="00FE0C5A" w:rsidRDefault="000C18DB" w:rsidP="00F113BD">
            <w:pPr>
              <w:spacing w:after="0"/>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D1D65" w14:textId="77777777" w:rsidR="00FE0C5A" w:rsidRDefault="000C18DB" w:rsidP="00F113BD">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D6E9B" w14:textId="77777777" w:rsidR="00FE0C5A" w:rsidRDefault="000C18DB" w:rsidP="00F113BD">
            <w:pPr>
              <w:spacing w:after="0"/>
              <w:jc w:val="right"/>
              <w:rPr>
                <w:rFonts w:eastAsia="Times New Roman"/>
              </w:rPr>
            </w:pPr>
            <w:r>
              <w:rPr>
                <w:rFonts w:ascii="Arial" w:eastAsia="Times New Roman" w:hAnsi="Arial" w:cs="Arial"/>
                <w:sz w:val="16"/>
                <w:szCs w:val="16"/>
              </w:rPr>
              <w:t>346.947,55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8EBA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53A1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33949" w14:textId="77777777" w:rsidR="00FE0C5A" w:rsidRDefault="000C18DB" w:rsidP="00F113BD">
            <w:pPr>
              <w:spacing w:after="0"/>
              <w:jc w:val="right"/>
              <w:rPr>
                <w:rFonts w:eastAsia="Times New Roman"/>
              </w:rPr>
            </w:pPr>
            <w:r>
              <w:rPr>
                <w:rFonts w:ascii="Arial" w:eastAsia="Times New Roman" w:hAnsi="Arial" w:cs="Arial"/>
                <w:sz w:val="16"/>
                <w:szCs w:val="16"/>
              </w:rPr>
              <w:t>346.947,55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97BAF" w14:textId="1E485275" w:rsidR="00FE0C5A" w:rsidRDefault="000C18DB" w:rsidP="00F113BD">
            <w:pPr>
              <w:spacing w:after="0"/>
              <w:jc w:val="right"/>
              <w:rPr>
                <w:rFonts w:eastAsia="Times New Roman"/>
              </w:rPr>
            </w:pPr>
            <w:r>
              <w:rPr>
                <w:rFonts w:ascii="Arial" w:eastAsia="Times New Roman" w:hAnsi="Arial" w:cs="Arial"/>
                <w:sz w:val="16"/>
                <w:szCs w:val="16"/>
              </w:rPr>
              <w:t>(242.863,</w:t>
            </w:r>
            <w:r w:rsidR="003250E1">
              <w:rPr>
                <w:rFonts w:ascii="Arial" w:eastAsia="Times New Roman" w:hAnsi="Arial" w:cs="Arial"/>
                <w:sz w:val="16"/>
                <w:szCs w:val="16"/>
              </w:rPr>
              <w:t>70</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AE46E" w14:textId="77777777" w:rsidR="00FE0C5A" w:rsidRDefault="000C18DB" w:rsidP="00F113BD">
            <w:pPr>
              <w:spacing w:after="0"/>
              <w:jc w:val="right"/>
              <w:rPr>
                <w:rFonts w:eastAsia="Times New Roman"/>
              </w:rPr>
            </w:pPr>
            <w:r>
              <w:rPr>
                <w:rFonts w:ascii="Arial" w:eastAsia="Times New Roman" w:hAnsi="Arial" w:cs="Arial"/>
                <w:sz w:val="16"/>
                <w:szCs w:val="16"/>
              </w:rPr>
              <w:t>113.004,89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A338B" w14:textId="01CBA279" w:rsidR="00FE0C5A" w:rsidRDefault="000C18DB" w:rsidP="00F113BD">
            <w:pPr>
              <w:spacing w:after="0"/>
              <w:jc w:val="right"/>
              <w:rPr>
                <w:rFonts w:eastAsia="Times New Roman"/>
              </w:rPr>
            </w:pPr>
            <w:r>
              <w:rPr>
                <w:rFonts w:ascii="Arial" w:eastAsia="Times New Roman" w:hAnsi="Arial" w:cs="Arial"/>
                <w:sz w:val="16"/>
                <w:szCs w:val="16"/>
              </w:rPr>
              <w:t>(79.10</w:t>
            </w:r>
            <w:r w:rsidR="003250E1">
              <w:rPr>
                <w:rFonts w:ascii="Arial" w:eastAsia="Times New Roman" w:hAnsi="Arial" w:cs="Arial"/>
                <w:sz w:val="16"/>
                <w:szCs w:val="16"/>
              </w:rPr>
              <w:t>4,00</w:t>
            </w:r>
            <w:r>
              <w:rPr>
                <w:rFonts w:ascii="Arial" w:eastAsia="Times New Roman" w:hAnsi="Arial" w:cs="Arial"/>
                <w:sz w:val="16"/>
                <w:szCs w:val="16"/>
              </w:rPr>
              <w:t>)</w:t>
            </w:r>
          </w:p>
        </w:tc>
      </w:tr>
      <w:tr w:rsidR="00FE0C5A" w14:paraId="634ED7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135D7C" w14:textId="77777777" w:rsidR="00FE0C5A" w:rsidRDefault="000C18DB" w:rsidP="00F113BD">
            <w:pPr>
              <w:spacing w:after="0"/>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658DB" w14:textId="77777777" w:rsidR="00FE0C5A" w:rsidRDefault="000C18DB" w:rsidP="00F113BD">
            <w:pPr>
              <w:spacing w:after="0"/>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B983C" w14:textId="77777777" w:rsidR="00FE0C5A" w:rsidRDefault="000C18DB" w:rsidP="00F113BD">
            <w:pPr>
              <w:spacing w:after="0"/>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C04FF" w14:textId="77777777" w:rsidR="00FE0C5A" w:rsidRDefault="000C18DB" w:rsidP="00F113BD">
            <w:pPr>
              <w:spacing w:after="0"/>
              <w:jc w:val="right"/>
              <w:rPr>
                <w:rFonts w:eastAsia="Times New Roman"/>
              </w:rPr>
            </w:pPr>
            <w:r>
              <w:rPr>
                <w:rFonts w:ascii="Arial" w:eastAsia="Times New Roman" w:hAnsi="Arial" w:cs="Arial"/>
                <w:sz w:val="16"/>
                <w:szCs w:val="16"/>
              </w:rPr>
              <w:t>1.360.905,00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88440"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66E62" w14:textId="77777777" w:rsidR="00FE0C5A" w:rsidRDefault="000C18DB" w:rsidP="00F113BD">
            <w:pPr>
              <w:spacing w:after="0"/>
              <w:jc w:val="right"/>
              <w:rPr>
                <w:rFonts w:eastAsia="Times New Roman"/>
              </w:rPr>
            </w:pPr>
            <w:r>
              <w:rPr>
                <w:rFonts w:ascii="Arial" w:eastAsia="Times New Roman" w:hAnsi="Arial" w:cs="Arial"/>
                <w:sz w:val="16"/>
                <w:szCs w:val="16"/>
              </w:rPr>
              <w:t>75.965,74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564FE" w14:textId="77777777" w:rsidR="00FE0C5A" w:rsidRDefault="000C18DB" w:rsidP="00F113BD">
            <w:pPr>
              <w:spacing w:after="0"/>
              <w:jc w:val="right"/>
              <w:rPr>
                <w:rFonts w:eastAsia="Times New Roman"/>
              </w:rPr>
            </w:pPr>
            <w:r>
              <w:rPr>
                <w:rFonts w:ascii="Arial" w:eastAsia="Times New Roman" w:hAnsi="Arial" w:cs="Arial"/>
                <w:sz w:val="16"/>
                <w:szCs w:val="16"/>
              </w:rPr>
              <w:t>1.436.870,74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0315F" w14:textId="77777777" w:rsidR="00FE0C5A" w:rsidRDefault="000C18DB" w:rsidP="00F113BD">
            <w:pPr>
              <w:spacing w:after="0"/>
              <w:jc w:val="right"/>
              <w:rPr>
                <w:rFonts w:eastAsia="Times New Roman"/>
              </w:rPr>
            </w:pPr>
            <w:r>
              <w:rPr>
                <w:rFonts w:ascii="Arial" w:eastAsia="Times New Roman" w:hAnsi="Arial" w:cs="Arial"/>
                <w:sz w:val="16"/>
                <w:szCs w:val="16"/>
              </w:rPr>
              <w:t>(1.436.870,74)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30631" w14:textId="77777777" w:rsidR="00FE0C5A" w:rsidRDefault="000C18DB" w:rsidP="00F113BD">
            <w:pPr>
              <w:spacing w:after="0"/>
              <w:jc w:val="right"/>
              <w:rPr>
                <w:rFonts w:eastAsia="Times New Roman"/>
              </w:rPr>
            </w:pPr>
            <w:r>
              <w:rPr>
                <w:rFonts w:ascii="Arial" w:eastAsia="Times New Roman" w:hAnsi="Arial" w:cs="Arial"/>
                <w:sz w:val="16"/>
                <w:szCs w:val="16"/>
              </w:rPr>
              <w:t>1.448.890,19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1693A" w14:textId="77777777" w:rsidR="00FE0C5A" w:rsidRDefault="000C18DB" w:rsidP="00F113BD">
            <w:pPr>
              <w:spacing w:after="0"/>
              <w:jc w:val="right"/>
              <w:rPr>
                <w:rFonts w:eastAsia="Times New Roman"/>
              </w:rPr>
            </w:pPr>
            <w:r>
              <w:rPr>
                <w:rFonts w:ascii="Arial" w:eastAsia="Times New Roman" w:hAnsi="Arial" w:cs="Arial"/>
                <w:sz w:val="16"/>
                <w:szCs w:val="16"/>
              </w:rPr>
              <w:t>(1.448.890,19)</w:t>
            </w:r>
          </w:p>
        </w:tc>
      </w:tr>
      <w:tr w:rsidR="00FE0C5A" w14:paraId="24F6C5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B5AACB" w14:textId="77777777" w:rsidR="00FE0C5A" w:rsidRDefault="000C18DB" w:rsidP="00F113BD">
            <w:pPr>
              <w:spacing w:after="0"/>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6137F" w14:textId="77777777" w:rsidR="00FE0C5A" w:rsidRDefault="000C18DB" w:rsidP="00F113BD">
            <w:pPr>
              <w:spacing w:after="0"/>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6E29A" w14:textId="77777777" w:rsidR="00FE0C5A" w:rsidRDefault="000C18DB" w:rsidP="00F113BD">
            <w:pPr>
              <w:spacing w:after="0"/>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00456" w14:textId="77777777" w:rsidR="00FE0C5A" w:rsidRDefault="000C18DB" w:rsidP="00F113BD">
            <w:pPr>
              <w:spacing w:after="0"/>
              <w:jc w:val="right"/>
              <w:rPr>
                <w:rFonts w:eastAsia="Times New Roman"/>
              </w:rPr>
            </w:pPr>
            <w:r>
              <w:rPr>
                <w:rFonts w:ascii="Arial" w:eastAsia="Times New Roman" w:hAnsi="Arial" w:cs="Arial"/>
                <w:sz w:val="16"/>
                <w:szCs w:val="16"/>
              </w:rPr>
              <w:t>3.651.399,24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341A5" w14:textId="77777777" w:rsidR="00FE0C5A" w:rsidRDefault="000C18DB" w:rsidP="00F113BD">
            <w:pPr>
              <w:spacing w:after="0"/>
              <w:jc w:val="right"/>
              <w:rPr>
                <w:rFonts w:eastAsia="Times New Roman"/>
              </w:rPr>
            </w:pPr>
            <w:r>
              <w:rPr>
                <w:rFonts w:ascii="Arial" w:eastAsia="Times New Roman" w:hAnsi="Arial" w:cs="Arial"/>
                <w:sz w:val="16"/>
                <w:szCs w:val="16"/>
              </w:rPr>
              <w:t>70.978,08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A07B9"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70133" w14:textId="77777777" w:rsidR="00FE0C5A" w:rsidRDefault="000C18DB" w:rsidP="00F113BD">
            <w:pPr>
              <w:spacing w:after="0"/>
              <w:jc w:val="right"/>
              <w:rPr>
                <w:rFonts w:eastAsia="Times New Roman"/>
              </w:rPr>
            </w:pPr>
            <w:r>
              <w:rPr>
                <w:rFonts w:ascii="Arial" w:eastAsia="Times New Roman" w:hAnsi="Arial" w:cs="Arial"/>
                <w:sz w:val="16"/>
                <w:szCs w:val="16"/>
              </w:rPr>
              <w:t>3.722.377,32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5D5D2" w14:textId="77777777" w:rsidR="00FE0C5A" w:rsidRDefault="000C18DB" w:rsidP="00F113BD">
            <w:pPr>
              <w:spacing w:after="0"/>
              <w:jc w:val="right"/>
              <w:rPr>
                <w:rFonts w:eastAsia="Times New Roman"/>
              </w:rPr>
            </w:pPr>
            <w:r>
              <w:rPr>
                <w:rFonts w:ascii="Arial" w:eastAsia="Times New Roman" w:hAnsi="Arial" w:cs="Arial"/>
                <w:sz w:val="16"/>
                <w:szCs w:val="16"/>
              </w:rPr>
              <w:t>(3.722.377,32)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8C065" w14:textId="77777777" w:rsidR="00FE0C5A" w:rsidRDefault="000C18DB" w:rsidP="00F113BD">
            <w:pPr>
              <w:spacing w:after="0"/>
              <w:jc w:val="right"/>
              <w:rPr>
                <w:rFonts w:eastAsia="Times New Roman"/>
              </w:rPr>
            </w:pPr>
            <w:r>
              <w:rPr>
                <w:rFonts w:ascii="Arial" w:eastAsia="Times New Roman" w:hAnsi="Arial" w:cs="Arial"/>
                <w:sz w:val="16"/>
                <w:szCs w:val="16"/>
              </w:rPr>
              <w:t>1.015.938,96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993C5" w14:textId="77777777" w:rsidR="00FE0C5A" w:rsidRDefault="000C18DB" w:rsidP="00F113BD">
            <w:pPr>
              <w:spacing w:after="0"/>
              <w:jc w:val="right"/>
              <w:rPr>
                <w:rFonts w:eastAsia="Times New Roman"/>
              </w:rPr>
            </w:pPr>
            <w:r>
              <w:rPr>
                <w:rFonts w:ascii="Arial" w:eastAsia="Times New Roman" w:hAnsi="Arial" w:cs="Arial"/>
                <w:sz w:val="16"/>
                <w:szCs w:val="16"/>
              </w:rPr>
              <w:t>(1.015.938,96)</w:t>
            </w:r>
          </w:p>
        </w:tc>
      </w:tr>
      <w:tr w:rsidR="00FE0C5A" w14:paraId="1C0CE175"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A00F723" w14:textId="77777777" w:rsidR="00FE0C5A" w:rsidRDefault="000C18DB" w:rsidP="00F113BD">
            <w:pPr>
              <w:spacing w:after="0"/>
              <w:jc w:val="cente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5BBF5" w14:textId="77777777" w:rsidR="00FE0C5A" w:rsidRDefault="000C18DB" w:rsidP="00F113BD">
            <w:pPr>
              <w:spacing w:after="0"/>
              <w:jc w:val="right"/>
              <w:rPr>
                <w:rFonts w:eastAsia="Times New Roman"/>
              </w:rPr>
            </w:pPr>
            <w:r>
              <w:rPr>
                <w:rFonts w:ascii="Arial" w:eastAsia="Times New Roman" w:hAnsi="Arial" w:cs="Arial"/>
                <w:b/>
                <w:bCs/>
                <w:sz w:val="16"/>
                <w:szCs w:val="16"/>
              </w:rPr>
              <w:t>53.433.791,08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84900" w14:textId="77777777" w:rsidR="00FE0C5A" w:rsidRDefault="000C18DB" w:rsidP="00F113BD">
            <w:pPr>
              <w:spacing w:after="0"/>
              <w:jc w:val="right"/>
              <w:rPr>
                <w:rFonts w:eastAsia="Times New Roman"/>
              </w:rPr>
            </w:pPr>
            <w:r>
              <w:rPr>
                <w:rFonts w:ascii="Arial" w:eastAsia="Times New Roman" w:hAnsi="Arial" w:cs="Arial"/>
                <w:b/>
                <w:bCs/>
                <w:sz w:val="16"/>
                <w:szCs w:val="16"/>
              </w:rPr>
              <w:t>12.029.452,79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531D0" w14:textId="77777777" w:rsidR="00FE0C5A" w:rsidRDefault="000C18DB" w:rsidP="00F113BD">
            <w:pPr>
              <w:spacing w:after="0"/>
              <w:jc w:val="right"/>
              <w:rPr>
                <w:rFonts w:eastAsia="Times New Roman"/>
              </w:rPr>
            </w:pPr>
            <w:r>
              <w:rPr>
                <w:rFonts w:ascii="Arial" w:eastAsia="Times New Roman" w:hAnsi="Arial" w:cs="Arial"/>
                <w:b/>
                <w:bCs/>
                <w:sz w:val="16"/>
                <w:szCs w:val="16"/>
              </w:rPr>
              <w:t>87.007.469,00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4B481" w14:textId="77777777" w:rsidR="00FE0C5A" w:rsidRDefault="000C18DB" w:rsidP="00F113BD">
            <w:pPr>
              <w:spacing w:after="0"/>
              <w:jc w:val="right"/>
              <w:rPr>
                <w:rFonts w:eastAsia="Times New Roman"/>
              </w:rPr>
            </w:pPr>
            <w:r>
              <w:rPr>
                <w:rFonts w:ascii="Arial" w:eastAsia="Times New Roman" w:hAnsi="Arial" w:cs="Arial"/>
                <w:b/>
                <w:bCs/>
                <w:sz w:val="16"/>
                <w:szCs w:val="16"/>
              </w:rPr>
              <w:t>152.470.712,87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D9EB3" w14:textId="77777777" w:rsidR="00FE0C5A" w:rsidRDefault="000C18DB" w:rsidP="00F113BD">
            <w:pPr>
              <w:spacing w:after="0"/>
              <w:jc w:val="right"/>
              <w:rPr>
                <w:rFonts w:eastAsia="Times New Roman"/>
              </w:rPr>
            </w:pPr>
            <w:r>
              <w:rPr>
                <w:rFonts w:ascii="Arial" w:eastAsia="Times New Roman" w:hAnsi="Arial" w:cs="Arial"/>
                <w:b/>
                <w:bCs/>
                <w:sz w:val="16"/>
                <w:szCs w:val="16"/>
              </w:rPr>
              <w:t>(3.696.511,38)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DD75F" w14:textId="77777777" w:rsidR="00FE0C5A" w:rsidRDefault="000C18DB" w:rsidP="00F113BD">
            <w:pPr>
              <w:spacing w:after="0"/>
              <w:jc w:val="right"/>
              <w:rPr>
                <w:rFonts w:eastAsia="Times New Roman"/>
              </w:rPr>
            </w:pPr>
            <w:r>
              <w:rPr>
                <w:rFonts w:ascii="Arial" w:eastAsia="Times New Roman" w:hAnsi="Arial" w:cs="Arial"/>
                <w:b/>
                <w:bCs/>
                <w:sz w:val="16"/>
                <w:szCs w:val="16"/>
              </w:rPr>
              <w:t>177.375.105,83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C4702" w14:textId="77777777" w:rsidR="00FE0C5A" w:rsidRDefault="000C18DB" w:rsidP="00F113BD">
            <w:pPr>
              <w:spacing w:after="0"/>
              <w:jc w:val="right"/>
              <w:rPr>
                <w:rFonts w:eastAsia="Times New Roman"/>
              </w:rPr>
            </w:pPr>
            <w:r>
              <w:rPr>
                <w:rFonts w:ascii="Arial" w:eastAsia="Times New Roman" w:hAnsi="Arial" w:cs="Arial"/>
                <w:b/>
                <w:bCs/>
                <w:sz w:val="16"/>
                <w:szCs w:val="16"/>
              </w:rPr>
              <w:t>(3.712.276,11)</w:t>
            </w:r>
          </w:p>
        </w:tc>
      </w:tr>
      <w:tr w:rsidR="00FE0C5A" w14:paraId="4940A643"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321527" w14:textId="77777777" w:rsidR="00FE0C5A" w:rsidRDefault="000C18DB" w:rsidP="00F113BD">
            <w:pPr>
              <w:spacing w:after="0"/>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2563A" w14:textId="77777777" w:rsidR="00FE0C5A" w:rsidRDefault="000C18DB" w:rsidP="00F113BD">
            <w:pPr>
              <w:spacing w:after="0"/>
              <w:jc w:val="right"/>
              <w:rPr>
                <w:rFonts w:eastAsia="Times New Roman"/>
              </w:rPr>
            </w:pPr>
            <w:r>
              <w:rPr>
                <w:rFonts w:ascii="Arial" w:eastAsia="Times New Roman" w:hAnsi="Arial" w:cs="Arial"/>
                <w:b/>
                <w:bCs/>
                <w:sz w:val="16"/>
                <w:szCs w:val="16"/>
              </w:rPr>
              <w:t>6.893.356,25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2DFD7" w14:textId="77777777" w:rsidR="00FE0C5A" w:rsidRDefault="000C18DB" w:rsidP="00F113BD">
            <w:pPr>
              <w:spacing w:after="0"/>
              <w:jc w:val="right"/>
              <w:rPr>
                <w:rFonts w:eastAsia="Times New Roman"/>
              </w:rPr>
            </w:pPr>
            <w:r>
              <w:rPr>
                <w:rFonts w:ascii="Arial" w:eastAsia="Times New Roman" w:hAnsi="Arial" w:cs="Arial"/>
                <w:b/>
                <w:bCs/>
                <w:sz w:val="16"/>
                <w:szCs w:val="16"/>
              </w:rPr>
              <w:t>283.359,37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1FCBE" w14:textId="77777777" w:rsidR="00FE0C5A" w:rsidRDefault="000C18DB" w:rsidP="00F113BD">
            <w:pPr>
              <w:spacing w:after="0"/>
              <w:jc w:val="right"/>
              <w:rPr>
                <w:rFonts w:eastAsia="Times New Roman"/>
              </w:rPr>
            </w:pPr>
            <w:r>
              <w:rPr>
                <w:rFonts w:ascii="Arial" w:eastAsia="Times New Roman" w:hAnsi="Arial" w:cs="Arial"/>
                <w:b/>
                <w:bCs/>
                <w:sz w:val="16"/>
                <w:szCs w:val="16"/>
              </w:rPr>
              <w:t>58.666,44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9E35D" w14:textId="77777777" w:rsidR="00FE0C5A" w:rsidRDefault="000C18DB" w:rsidP="00F113BD">
            <w:pPr>
              <w:spacing w:after="0"/>
              <w:jc w:val="right"/>
              <w:rPr>
                <w:rFonts w:eastAsia="Times New Roman"/>
              </w:rPr>
            </w:pPr>
            <w:r>
              <w:rPr>
                <w:rFonts w:ascii="Arial" w:eastAsia="Times New Roman" w:hAnsi="Arial" w:cs="Arial"/>
                <w:b/>
                <w:bCs/>
                <w:sz w:val="16"/>
                <w:szCs w:val="16"/>
              </w:rPr>
              <w:t>7.235.382,06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40E33" w14:textId="410A5D41" w:rsidR="00FE0C5A" w:rsidRDefault="000C18DB" w:rsidP="00F113BD">
            <w:pPr>
              <w:spacing w:after="0"/>
              <w:jc w:val="right"/>
              <w:rPr>
                <w:rFonts w:eastAsia="Times New Roman"/>
              </w:rPr>
            </w:pPr>
            <w:r>
              <w:rPr>
                <w:rFonts w:ascii="Arial" w:eastAsia="Times New Roman" w:hAnsi="Arial" w:cs="Arial"/>
                <w:b/>
                <w:bCs/>
                <w:sz w:val="16"/>
                <w:szCs w:val="16"/>
              </w:rPr>
              <w:t>(4.520.749,</w:t>
            </w:r>
            <w:r w:rsidR="003250E1">
              <w:rPr>
                <w:rFonts w:ascii="Arial" w:eastAsia="Times New Roman" w:hAnsi="Arial" w:cs="Arial"/>
                <w:b/>
                <w:bCs/>
                <w:sz w:val="16"/>
                <w:szCs w:val="16"/>
              </w:rPr>
              <w:t>43</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182D6" w14:textId="77777777" w:rsidR="00FE0C5A" w:rsidRDefault="000C18DB" w:rsidP="00F113BD">
            <w:pPr>
              <w:spacing w:after="0"/>
              <w:jc w:val="right"/>
              <w:rPr>
                <w:rFonts w:eastAsia="Times New Roman"/>
              </w:rPr>
            </w:pPr>
            <w:r>
              <w:rPr>
                <w:rFonts w:ascii="Arial" w:eastAsia="Times New Roman" w:hAnsi="Arial" w:cs="Arial"/>
                <w:b/>
                <w:bCs/>
                <w:sz w:val="16"/>
                <w:szCs w:val="16"/>
              </w:rPr>
              <w:t>2.760.922,67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50A16" w14:textId="7899E641" w:rsidR="00FE0C5A" w:rsidRDefault="000C18DB" w:rsidP="00F113BD">
            <w:pPr>
              <w:spacing w:after="0"/>
              <w:jc w:val="right"/>
              <w:rPr>
                <w:rFonts w:eastAsia="Times New Roman"/>
              </w:rPr>
            </w:pPr>
            <w:r>
              <w:rPr>
                <w:rFonts w:ascii="Arial" w:eastAsia="Times New Roman" w:hAnsi="Arial" w:cs="Arial"/>
                <w:b/>
                <w:bCs/>
                <w:sz w:val="16"/>
                <w:szCs w:val="16"/>
              </w:rPr>
              <w:t>(1.320.06</w:t>
            </w:r>
            <w:r w:rsidR="003250E1">
              <w:rPr>
                <w:rFonts w:ascii="Arial" w:eastAsia="Times New Roman" w:hAnsi="Arial" w:cs="Arial"/>
                <w:b/>
                <w:bCs/>
                <w:sz w:val="16"/>
                <w:szCs w:val="16"/>
              </w:rPr>
              <w:t>9,20</w:t>
            </w:r>
            <w:r>
              <w:rPr>
                <w:rFonts w:ascii="Arial" w:eastAsia="Times New Roman" w:hAnsi="Arial" w:cs="Arial"/>
                <w:b/>
                <w:bCs/>
                <w:sz w:val="16"/>
                <w:szCs w:val="16"/>
              </w:rPr>
              <w:t>)</w:t>
            </w:r>
          </w:p>
        </w:tc>
      </w:tr>
      <w:tr w:rsidR="00FE0C5A" w14:paraId="79EDF495"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3741FD" w14:textId="77777777" w:rsidR="00FE0C5A" w:rsidRDefault="000C18DB" w:rsidP="00F113BD">
            <w:pPr>
              <w:spacing w:after="0"/>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B6518" w14:textId="77777777" w:rsidR="00FE0C5A" w:rsidRDefault="000C18DB" w:rsidP="00F113BD">
            <w:pPr>
              <w:spacing w:after="0"/>
              <w:jc w:val="right"/>
              <w:rPr>
                <w:rFonts w:eastAsia="Times New Roman"/>
              </w:rPr>
            </w:pPr>
            <w:r>
              <w:rPr>
                <w:rFonts w:ascii="Arial" w:eastAsia="Times New Roman" w:hAnsi="Arial" w:cs="Arial"/>
                <w:b/>
                <w:bCs/>
                <w:sz w:val="16"/>
                <w:szCs w:val="16"/>
              </w:rPr>
              <w:t>60.327.147,33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22FEC" w14:textId="77777777" w:rsidR="00FE0C5A" w:rsidRDefault="000C18DB" w:rsidP="00F113BD">
            <w:pPr>
              <w:spacing w:after="0"/>
              <w:jc w:val="right"/>
              <w:rPr>
                <w:rFonts w:eastAsia="Times New Roman"/>
              </w:rPr>
            </w:pPr>
            <w:r>
              <w:rPr>
                <w:rFonts w:ascii="Arial" w:eastAsia="Times New Roman" w:hAnsi="Arial" w:cs="Arial"/>
                <w:b/>
                <w:bCs/>
                <w:sz w:val="16"/>
                <w:szCs w:val="16"/>
              </w:rPr>
              <w:t>12.312.812,16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54148" w14:textId="77777777" w:rsidR="00FE0C5A" w:rsidRDefault="000C18DB" w:rsidP="00F113BD">
            <w:pPr>
              <w:spacing w:after="0"/>
              <w:jc w:val="right"/>
              <w:rPr>
                <w:rFonts w:eastAsia="Times New Roman"/>
              </w:rPr>
            </w:pPr>
            <w:r>
              <w:rPr>
                <w:rFonts w:ascii="Arial" w:eastAsia="Times New Roman" w:hAnsi="Arial" w:cs="Arial"/>
                <w:b/>
                <w:bCs/>
                <w:sz w:val="16"/>
                <w:szCs w:val="16"/>
              </w:rPr>
              <w:t>87.066.135,44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64B1C" w14:textId="77777777" w:rsidR="00FE0C5A" w:rsidRDefault="000C18DB" w:rsidP="00F113BD">
            <w:pPr>
              <w:spacing w:after="0"/>
              <w:jc w:val="right"/>
              <w:rPr>
                <w:rFonts w:eastAsia="Times New Roman"/>
              </w:rPr>
            </w:pPr>
            <w:r>
              <w:rPr>
                <w:rFonts w:ascii="Arial" w:eastAsia="Times New Roman" w:hAnsi="Arial" w:cs="Arial"/>
                <w:b/>
                <w:bCs/>
                <w:sz w:val="16"/>
                <w:szCs w:val="16"/>
              </w:rPr>
              <w:t>159.706.094,93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C56DA" w14:textId="42457AED" w:rsidR="00FE0C5A" w:rsidRDefault="000C18DB" w:rsidP="00F113BD">
            <w:pPr>
              <w:spacing w:after="0"/>
              <w:jc w:val="right"/>
              <w:rPr>
                <w:rFonts w:eastAsia="Times New Roman"/>
              </w:rPr>
            </w:pPr>
            <w:r>
              <w:rPr>
                <w:rFonts w:ascii="Arial" w:eastAsia="Times New Roman" w:hAnsi="Arial" w:cs="Arial"/>
                <w:b/>
                <w:bCs/>
                <w:sz w:val="16"/>
                <w:szCs w:val="16"/>
              </w:rPr>
              <w:t>(8.217.26</w:t>
            </w:r>
            <w:r w:rsidR="003250E1">
              <w:rPr>
                <w:rFonts w:ascii="Arial" w:eastAsia="Times New Roman" w:hAnsi="Arial" w:cs="Arial"/>
                <w:b/>
                <w:bCs/>
                <w:sz w:val="16"/>
                <w:szCs w:val="16"/>
              </w:rPr>
              <w:t>0,81</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CAF68" w14:textId="77777777" w:rsidR="00FE0C5A" w:rsidRDefault="000C18DB" w:rsidP="00F113BD">
            <w:pPr>
              <w:spacing w:after="0"/>
              <w:jc w:val="right"/>
              <w:rPr>
                <w:rFonts w:eastAsia="Times New Roman"/>
              </w:rPr>
            </w:pPr>
            <w:r>
              <w:rPr>
                <w:rFonts w:ascii="Arial" w:eastAsia="Times New Roman" w:hAnsi="Arial" w:cs="Arial"/>
                <w:b/>
                <w:bCs/>
                <w:sz w:val="16"/>
                <w:szCs w:val="16"/>
              </w:rPr>
              <w:t>180.136.028,50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1E3D3" w14:textId="485F9E14" w:rsidR="00FE0C5A" w:rsidRDefault="000C18DB" w:rsidP="00F113BD">
            <w:pPr>
              <w:spacing w:after="0"/>
              <w:jc w:val="right"/>
              <w:rPr>
                <w:rFonts w:eastAsia="Times New Roman"/>
              </w:rPr>
            </w:pPr>
            <w:r>
              <w:rPr>
                <w:rFonts w:ascii="Arial" w:eastAsia="Times New Roman" w:hAnsi="Arial" w:cs="Arial"/>
                <w:b/>
                <w:bCs/>
                <w:sz w:val="16"/>
                <w:szCs w:val="16"/>
              </w:rPr>
              <w:t>(5.032.34</w:t>
            </w:r>
            <w:r w:rsidR="003250E1">
              <w:rPr>
                <w:rFonts w:ascii="Arial" w:eastAsia="Times New Roman" w:hAnsi="Arial" w:cs="Arial"/>
                <w:b/>
                <w:bCs/>
                <w:sz w:val="16"/>
                <w:szCs w:val="16"/>
              </w:rPr>
              <w:t>5,31</w:t>
            </w:r>
            <w:r>
              <w:rPr>
                <w:rFonts w:ascii="Arial" w:eastAsia="Times New Roman" w:hAnsi="Arial" w:cs="Arial"/>
                <w:b/>
                <w:bCs/>
                <w:sz w:val="16"/>
                <w:szCs w:val="16"/>
              </w:rPr>
              <w:t>)</w:t>
            </w:r>
          </w:p>
        </w:tc>
      </w:tr>
      <w:tr w:rsidR="00FE0C5A" w14:paraId="1460178B"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CCFDA7" w14:textId="77777777" w:rsidR="00FE0C5A" w:rsidRDefault="000C18DB" w:rsidP="00F113BD">
            <w:pPr>
              <w:spacing w:after="0"/>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BBD85" w14:textId="77777777" w:rsidR="00FE0C5A" w:rsidRDefault="000C18DB" w:rsidP="00F113BD">
            <w:pPr>
              <w:spacing w:after="0"/>
              <w:jc w:val="right"/>
              <w:rPr>
                <w:rFonts w:eastAsia="Times New Roman"/>
              </w:rPr>
            </w:pPr>
            <w:r>
              <w:rPr>
                <w:rFonts w:ascii="Arial" w:eastAsia="Times New Roman" w:hAnsi="Arial" w:cs="Arial"/>
                <w:b/>
                <w:bCs/>
                <w:sz w:val="16"/>
                <w:szCs w:val="16"/>
              </w:rPr>
              <w:t>(7.214.761,65)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26697" w14:textId="77777777" w:rsidR="00FE0C5A" w:rsidRDefault="000C18DB" w:rsidP="00F113BD">
            <w:pPr>
              <w:spacing w:after="0"/>
              <w:jc w:val="right"/>
              <w:rPr>
                <w:rFonts w:eastAsia="Times New Roman"/>
              </w:rPr>
            </w:pPr>
            <w:r>
              <w:rPr>
                <w:rFonts w:ascii="Arial" w:eastAsia="Times New Roman" w:hAnsi="Arial" w:cs="Arial"/>
                <w:b/>
                <w:bCs/>
                <w:sz w:val="16"/>
                <w:szCs w:val="16"/>
              </w:rPr>
              <w:t>(471.480,17)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68F71" w14:textId="77777777" w:rsidR="00FE0C5A" w:rsidRDefault="000C18DB" w:rsidP="00F113BD">
            <w:pPr>
              <w:spacing w:after="0"/>
              <w:jc w:val="right"/>
              <w:rPr>
                <w:rFonts w:eastAsia="Times New Roman"/>
              </w:rPr>
            </w:pPr>
            <w:r>
              <w:rPr>
                <w:rFonts w:ascii="Arial" w:eastAsia="Times New Roman" w:hAnsi="Arial" w:cs="Arial"/>
                <w:b/>
                <w:bCs/>
                <w:sz w:val="16"/>
                <w:szCs w:val="16"/>
              </w:rPr>
              <w:t>(531.018,99)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99AB3" w14:textId="77777777" w:rsidR="00FE0C5A" w:rsidRDefault="000C18DB" w:rsidP="00F113BD">
            <w:pPr>
              <w:spacing w:after="0"/>
              <w:jc w:val="right"/>
              <w:rPr>
                <w:rFonts w:eastAsia="Times New Roman"/>
              </w:rPr>
            </w:pPr>
            <w:r>
              <w:rPr>
                <w:rFonts w:ascii="Arial" w:eastAsia="Times New Roman" w:hAnsi="Arial" w:cs="Arial"/>
                <w:b/>
                <w:bCs/>
                <w:sz w:val="16"/>
                <w:szCs w:val="16"/>
              </w:rPr>
              <w:t>(8.217.260,81)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084CA" w14:textId="77777777" w:rsidR="00FE0C5A" w:rsidRDefault="00FE0C5A" w:rsidP="00F113BD">
            <w:pPr>
              <w:spacing w:after="0"/>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532954" w14:textId="77777777" w:rsidR="00FE0C5A" w:rsidRDefault="000C18DB" w:rsidP="00F113BD">
            <w:pPr>
              <w:spacing w:after="0"/>
              <w:jc w:val="right"/>
              <w:rPr>
                <w:rFonts w:eastAsia="Times New Roman"/>
              </w:rPr>
            </w:pPr>
            <w:r>
              <w:rPr>
                <w:rFonts w:ascii="Arial" w:eastAsia="Times New Roman" w:hAnsi="Arial" w:cs="Arial"/>
                <w:b/>
                <w:bCs/>
                <w:sz w:val="16"/>
                <w:szCs w:val="16"/>
              </w:rPr>
              <w:t>(5.032.345,31)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5544E" w14:textId="77777777" w:rsidR="00FE0C5A" w:rsidRDefault="00FE0C5A" w:rsidP="00F113BD">
            <w:pPr>
              <w:spacing w:after="0"/>
              <w:jc w:val="right"/>
              <w:rPr>
                <w:rFonts w:eastAsia="Times New Roman"/>
              </w:rPr>
            </w:pPr>
          </w:p>
        </w:tc>
      </w:tr>
      <w:tr w:rsidR="00FE0C5A" w14:paraId="6E71D012"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73F5DB" w14:textId="77777777" w:rsidR="00FE0C5A" w:rsidRDefault="000C18DB" w:rsidP="00F113BD">
            <w:pPr>
              <w:spacing w:after="0"/>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B9B8B" w14:textId="77777777" w:rsidR="00FE0C5A" w:rsidRDefault="000C18DB" w:rsidP="00F113BD">
            <w:pPr>
              <w:spacing w:after="0"/>
              <w:jc w:val="right"/>
              <w:rPr>
                <w:rFonts w:eastAsia="Times New Roman"/>
              </w:rPr>
            </w:pPr>
            <w:r>
              <w:rPr>
                <w:rFonts w:ascii="Arial" w:eastAsia="Times New Roman" w:hAnsi="Arial" w:cs="Arial"/>
                <w:b/>
                <w:bCs/>
                <w:sz w:val="16"/>
                <w:szCs w:val="16"/>
              </w:rPr>
              <w:t>53.112.385,68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AD3D4" w14:textId="77777777" w:rsidR="00FE0C5A" w:rsidRDefault="000C18DB" w:rsidP="00F113BD">
            <w:pPr>
              <w:spacing w:after="0"/>
              <w:jc w:val="right"/>
              <w:rPr>
                <w:rFonts w:eastAsia="Times New Roman"/>
              </w:rPr>
            </w:pPr>
            <w:r>
              <w:rPr>
                <w:rFonts w:ascii="Arial" w:eastAsia="Times New Roman" w:hAnsi="Arial" w:cs="Arial"/>
                <w:b/>
                <w:bCs/>
                <w:sz w:val="16"/>
                <w:szCs w:val="16"/>
              </w:rPr>
              <w:t>11.841.331,99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D2590" w14:textId="77777777" w:rsidR="00FE0C5A" w:rsidRDefault="000C18DB" w:rsidP="00F113BD">
            <w:pPr>
              <w:spacing w:after="0"/>
              <w:jc w:val="right"/>
              <w:rPr>
                <w:rFonts w:eastAsia="Times New Roman"/>
              </w:rPr>
            </w:pPr>
            <w:r>
              <w:rPr>
                <w:rFonts w:ascii="Arial" w:eastAsia="Times New Roman" w:hAnsi="Arial" w:cs="Arial"/>
                <w:b/>
                <w:bCs/>
                <w:sz w:val="16"/>
                <w:szCs w:val="16"/>
              </w:rPr>
              <w:t>86.535.116,45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6CBF9" w14:textId="77777777" w:rsidR="00FE0C5A" w:rsidRDefault="000C18DB" w:rsidP="00F113BD">
            <w:pPr>
              <w:spacing w:after="0"/>
              <w:jc w:val="right"/>
              <w:rPr>
                <w:rFonts w:eastAsia="Times New Roman"/>
              </w:rPr>
            </w:pPr>
            <w:r>
              <w:rPr>
                <w:rFonts w:ascii="Arial" w:eastAsia="Times New Roman" w:hAnsi="Arial" w:cs="Arial"/>
                <w:b/>
                <w:bCs/>
                <w:sz w:val="16"/>
                <w:szCs w:val="16"/>
              </w:rPr>
              <w:t>151.488.834,12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BCDF3" w14:textId="77777777" w:rsidR="00FE0C5A" w:rsidRDefault="00FE0C5A" w:rsidP="00F113BD">
            <w:pPr>
              <w:spacing w:after="0"/>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58A97D" w14:textId="77777777" w:rsidR="00FE0C5A" w:rsidRDefault="000C18DB" w:rsidP="00F113BD">
            <w:pPr>
              <w:spacing w:after="0"/>
              <w:jc w:val="right"/>
              <w:rPr>
                <w:rFonts w:eastAsia="Times New Roman"/>
              </w:rPr>
            </w:pPr>
            <w:r>
              <w:rPr>
                <w:rFonts w:ascii="Arial" w:eastAsia="Times New Roman" w:hAnsi="Arial" w:cs="Arial"/>
                <w:b/>
                <w:bCs/>
                <w:sz w:val="16"/>
                <w:szCs w:val="16"/>
              </w:rPr>
              <w:t>175.103.683,19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ADB75" w14:textId="77777777" w:rsidR="00FE0C5A" w:rsidRDefault="00FE0C5A" w:rsidP="00F113BD">
            <w:pPr>
              <w:spacing w:after="0"/>
              <w:jc w:val="right"/>
              <w:rPr>
                <w:rFonts w:eastAsia="Times New Roman"/>
              </w:rPr>
            </w:pPr>
          </w:p>
        </w:tc>
      </w:tr>
    </w:tbl>
    <w:p w14:paraId="33015BAA" w14:textId="77777777" w:rsidR="00FE0C5A" w:rsidRDefault="000C18DB">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244"/>
        <w:gridCol w:w="1304"/>
        <w:gridCol w:w="1304"/>
        <w:gridCol w:w="1304"/>
        <w:gridCol w:w="1416"/>
        <w:gridCol w:w="1416"/>
      </w:tblGrid>
      <w:tr w:rsidR="00FE0C5A" w14:paraId="20BE23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265808" w14:textId="77777777" w:rsidR="00FE0C5A" w:rsidRDefault="000C18DB" w:rsidP="00F113BD">
            <w:pPr>
              <w:spacing w:after="0"/>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C0B7E" w14:textId="77777777" w:rsidR="00FE0C5A" w:rsidRDefault="000C18DB" w:rsidP="00F113BD">
            <w:pPr>
              <w:spacing w:after="0"/>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1996C" w14:textId="77777777" w:rsidR="00FE0C5A" w:rsidRDefault="000C18DB" w:rsidP="00F113BD">
            <w:pPr>
              <w:spacing w:after="0"/>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78400" w14:textId="77777777" w:rsidR="00FE0C5A" w:rsidRDefault="000C18DB" w:rsidP="00F113BD">
            <w:pPr>
              <w:spacing w:after="0"/>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FBD95"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8BED7"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4A4D0B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613CCD" w14:textId="77777777" w:rsidR="00FE0C5A" w:rsidRDefault="000C18DB" w:rsidP="00F113BD">
            <w:pPr>
              <w:spacing w:after="0"/>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64D27" w14:textId="77777777" w:rsidR="00FE0C5A" w:rsidRDefault="000C18DB" w:rsidP="00F113BD">
            <w:pPr>
              <w:spacing w:after="0"/>
              <w:jc w:val="right"/>
              <w:rPr>
                <w:rFonts w:eastAsia="Times New Roman"/>
              </w:rPr>
            </w:pPr>
            <w:r>
              <w:rPr>
                <w:rFonts w:ascii="Arial" w:eastAsia="Times New Roman" w:hAnsi="Arial" w:cs="Arial"/>
                <w:sz w:val="16"/>
                <w:szCs w:val="16"/>
              </w:rPr>
              <w:t>18.726.154,95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AB25B" w14:textId="77777777" w:rsidR="00FE0C5A" w:rsidRDefault="000C18DB" w:rsidP="00F113BD">
            <w:pPr>
              <w:spacing w:after="0"/>
              <w:jc w:val="right"/>
              <w:rPr>
                <w:rFonts w:eastAsia="Times New Roman"/>
              </w:rPr>
            </w:pPr>
            <w:r>
              <w:rPr>
                <w:rFonts w:ascii="Arial" w:eastAsia="Times New Roman" w:hAnsi="Arial" w:cs="Arial"/>
                <w:sz w:val="16"/>
                <w:szCs w:val="16"/>
              </w:rPr>
              <w:t>22.596.547,69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8F0B9" w14:textId="77777777" w:rsidR="00FE0C5A" w:rsidRDefault="000C18DB" w:rsidP="00F113BD">
            <w:pPr>
              <w:spacing w:after="0"/>
              <w:jc w:val="right"/>
              <w:rPr>
                <w:rFonts w:eastAsia="Times New Roman"/>
              </w:rPr>
            </w:pPr>
            <w:r>
              <w:rPr>
                <w:rFonts w:ascii="Arial" w:eastAsia="Times New Roman" w:hAnsi="Arial" w:cs="Arial"/>
                <w:sz w:val="16"/>
                <w:szCs w:val="16"/>
              </w:rPr>
              <w:t>19.004.444,69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7D4BB" w14:textId="77777777" w:rsidR="00FE0C5A" w:rsidRDefault="000C18DB" w:rsidP="00F113BD">
            <w:pPr>
              <w:spacing w:after="0"/>
              <w:jc w:val="right"/>
              <w:rPr>
                <w:rFonts w:eastAsia="Times New Roman"/>
              </w:rPr>
            </w:pPr>
            <w:r>
              <w:rPr>
                <w:rFonts w:ascii="Arial" w:eastAsia="Times New Roman" w:hAnsi="Arial" w:cs="Arial"/>
                <w:sz w:val="16"/>
                <w:szCs w:val="16"/>
              </w:rPr>
              <w:t>60.327.147,33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8D696" w14:textId="77777777" w:rsidR="00FE0C5A" w:rsidRDefault="000C18DB" w:rsidP="00F113BD">
            <w:pPr>
              <w:spacing w:after="0"/>
              <w:jc w:val="right"/>
              <w:rPr>
                <w:rFonts w:eastAsia="Times New Roman"/>
              </w:rPr>
            </w:pPr>
            <w:r>
              <w:rPr>
                <w:rFonts w:ascii="Arial" w:eastAsia="Times New Roman" w:hAnsi="Arial" w:cs="Arial"/>
                <w:sz w:val="16"/>
                <w:szCs w:val="16"/>
              </w:rPr>
              <w:t>69.830.611,14</w:t>
            </w:r>
          </w:p>
        </w:tc>
      </w:tr>
      <w:tr w:rsidR="00FE0C5A" w14:paraId="3DB917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B9C495" w14:textId="77777777" w:rsidR="00FE0C5A" w:rsidRDefault="000C18DB" w:rsidP="00F113BD">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73AC7" w14:textId="77777777" w:rsidR="00FE0C5A" w:rsidRDefault="000C18DB" w:rsidP="00F113BD">
            <w:pPr>
              <w:spacing w:after="0"/>
              <w:jc w:val="right"/>
              <w:rPr>
                <w:rFonts w:eastAsia="Times New Roman"/>
              </w:rPr>
            </w:pPr>
            <w:r>
              <w:rPr>
                <w:rFonts w:ascii="Arial" w:eastAsia="Times New Roman" w:hAnsi="Arial" w:cs="Arial"/>
                <w:sz w:val="16"/>
                <w:szCs w:val="16"/>
              </w:rPr>
              <w:t>1.788.410,19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6DC67" w14:textId="77777777" w:rsidR="00FE0C5A" w:rsidRDefault="000C18DB" w:rsidP="00F113BD">
            <w:pPr>
              <w:spacing w:after="0"/>
              <w:jc w:val="right"/>
              <w:rPr>
                <w:rFonts w:eastAsia="Times New Roman"/>
              </w:rPr>
            </w:pPr>
            <w:r>
              <w:rPr>
                <w:rFonts w:ascii="Arial" w:eastAsia="Times New Roman" w:hAnsi="Arial" w:cs="Arial"/>
                <w:sz w:val="16"/>
                <w:szCs w:val="16"/>
              </w:rPr>
              <w:t>3.494.620,44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23BC6" w14:textId="77777777" w:rsidR="00FE0C5A" w:rsidRDefault="000C18DB" w:rsidP="00F113BD">
            <w:pPr>
              <w:spacing w:after="0"/>
              <w:jc w:val="right"/>
              <w:rPr>
                <w:rFonts w:eastAsia="Times New Roman"/>
              </w:rPr>
            </w:pPr>
            <w:r>
              <w:rPr>
                <w:rFonts w:ascii="Arial" w:eastAsia="Times New Roman" w:hAnsi="Arial" w:cs="Arial"/>
                <w:sz w:val="16"/>
                <w:szCs w:val="16"/>
              </w:rPr>
              <w:t>7.029.781,53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C0B65" w14:textId="77777777" w:rsidR="00FE0C5A" w:rsidRDefault="000C18DB" w:rsidP="00F113BD">
            <w:pPr>
              <w:spacing w:after="0"/>
              <w:jc w:val="right"/>
              <w:rPr>
                <w:rFonts w:eastAsia="Times New Roman"/>
              </w:rPr>
            </w:pPr>
            <w:r>
              <w:rPr>
                <w:rFonts w:ascii="Arial" w:eastAsia="Times New Roman" w:hAnsi="Arial" w:cs="Arial"/>
                <w:sz w:val="16"/>
                <w:szCs w:val="16"/>
              </w:rPr>
              <w:t>12.312.812,16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E142F" w14:textId="77777777" w:rsidR="00FE0C5A" w:rsidRDefault="000C18DB" w:rsidP="00F113BD">
            <w:pPr>
              <w:spacing w:after="0"/>
              <w:jc w:val="right"/>
              <w:rPr>
                <w:rFonts w:eastAsia="Times New Roman"/>
              </w:rPr>
            </w:pPr>
            <w:r>
              <w:rPr>
                <w:rFonts w:ascii="Arial" w:eastAsia="Times New Roman" w:hAnsi="Arial" w:cs="Arial"/>
                <w:sz w:val="16"/>
                <w:szCs w:val="16"/>
              </w:rPr>
              <w:t>13.451.202,43</w:t>
            </w:r>
          </w:p>
        </w:tc>
      </w:tr>
      <w:tr w:rsidR="00FE0C5A" w14:paraId="67F154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C888B0" w14:textId="77777777" w:rsidR="00FE0C5A" w:rsidRDefault="000C18DB" w:rsidP="00F113BD">
            <w:pPr>
              <w:spacing w:after="0"/>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077F8" w14:textId="77777777" w:rsidR="00FE0C5A" w:rsidRDefault="000C18DB" w:rsidP="00F113BD">
            <w:pPr>
              <w:spacing w:after="0"/>
              <w:jc w:val="right"/>
              <w:rPr>
                <w:rFonts w:eastAsia="Times New Roman"/>
              </w:rPr>
            </w:pPr>
            <w:r>
              <w:rPr>
                <w:rFonts w:ascii="Arial" w:eastAsia="Times New Roman" w:hAnsi="Arial" w:cs="Arial"/>
                <w:sz w:val="16"/>
                <w:szCs w:val="16"/>
              </w:rPr>
              <w:t>1.726.956,73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72921" w14:textId="77777777" w:rsidR="00FE0C5A" w:rsidRDefault="000C18DB" w:rsidP="00F113BD">
            <w:pPr>
              <w:spacing w:after="0"/>
              <w:jc w:val="right"/>
              <w:rPr>
                <w:rFonts w:eastAsia="Times New Roman"/>
              </w:rPr>
            </w:pPr>
            <w:r>
              <w:rPr>
                <w:rFonts w:ascii="Arial" w:eastAsia="Times New Roman" w:hAnsi="Arial" w:cs="Arial"/>
                <w:sz w:val="16"/>
                <w:szCs w:val="16"/>
              </w:rPr>
              <w:t>66.263.245,05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1B9A3" w14:textId="77777777" w:rsidR="00FE0C5A" w:rsidRDefault="000C18DB" w:rsidP="00F113BD">
            <w:pPr>
              <w:spacing w:after="0"/>
              <w:jc w:val="right"/>
              <w:rPr>
                <w:rFonts w:eastAsia="Times New Roman"/>
              </w:rPr>
            </w:pPr>
            <w:r>
              <w:rPr>
                <w:rFonts w:ascii="Arial" w:eastAsia="Times New Roman" w:hAnsi="Arial" w:cs="Arial"/>
                <w:sz w:val="16"/>
                <w:szCs w:val="16"/>
              </w:rPr>
              <w:t>19.075.933,66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B4788" w14:textId="77777777" w:rsidR="00FE0C5A" w:rsidRDefault="000C18DB" w:rsidP="00F113BD">
            <w:pPr>
              <w:spacing w:after="0"/>
              <w:jc w:val="right"/>
              <w:rPr>
                <w:rFonts w:eastAsia="Times New Roman"/>
              </w:rPr>
            </w:pPr>
            <w:r>
              <w:rPr>
                <w:rFonts w:ascii="Arial" w:eastAsia="Times New Roman" w:hAnsi="Arial" w:cs="Arial"/>
                <w:sz w:val="16"/>
                <w:szCs w:val="16"/>
              </w:rPr>
              <w:t>87.066.135,44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3F16A" w14:textId="77777777" w:rsidR="00FE0C5A" w:rsidRDefault="000C18DB" w:rsidP="00F113BD">
            <w:pPr>
              <w:spacing w:after="0"/>
              <w:jc w:val="right"/>
              <w:rPr>
                <w:rFonts w:eastAsia="Times New Roman"/>
              </w:rPr>
            </w:pPr>
            <w:r>
              <w:rPr>
                <w:rFonts w:ascii="Arial" w:eastAsia="Times New Roman" w:hAnsi="Arial" w:cs="Arial"/>
                <w:sz w:val="16"/>
                <w:szCs w:val="16"/>
              </w:rPr>
              <w:t>96.854.214,93</w:t>
            </w:r>
          </w:p>
        </w:tc>
      </w:tr>
      <w:tr w:rsidR="00FE0C5A" w14:paraId="73FD4E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43F9BC"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07A76" w14:textId="77777777" w:rsidR="00FE0C5A" w:rsidRDefault="000C18DB" w:rsidP="00F113BD">
            <w:pPr>
              <w:spacing w:after="0"/>
              <w:jc w:val="right"/>
              <w:rPr>
                <w:rFonts w:eastAsia="Times New Roman"/>
              </w:rPr>
            </w:pPr>
            <w:r>
              <w:rPr>
                <w:rFonts w:ascii="Arial" w:eastAsia="Times New Roman" w:hAnsi="Arial" w:cs="Arial"/>
                <w:b/>
                <w:bCs/>
                <w:sz w:val="16"/>
                <w:szCs w:val="16"/>
              </w:rPr>
              <w:t>22.241.521,87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6E08C" w14:textId="77777777" w:rsidR="00FE0C5A" w:rsidRDefault="000C18DB" w:rsidP="00F113BD">
            <w:pPr>
              <w:spacing w:after="0"/>
              <w:jc w:val="right"/>
              <w:rPr>
                <w:rFonts w:eastAsia="Times New Roman"/>
              </w:rPr>
            </w:pPr>
            <w:r>
              <w:rPr>
                <w:rFonts w:ascii="Arial" w:eastAsia="Times New Roman" w:hAnsi="Arial" w:cs="Arial"/>
                <w:b/>
                <w:bCs/>
                <w:sz w:val="16"/>
                <w:szCs w:val="16"/>
              </w:rPr>
              <w:t>92.354.413,18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15957" w14:textId="77777777" w:rsidR="00FE0C5A" w:rsidRDefault="000C18DB" w:rsidP="00F113BD">
            <w:pPr>
              <w:spacing w:after="0"/>
              <w:jc w:val="right"/>
              <w:rPr>
                <w:rFonts w:eastAsia="Times New Roman"/>
              </w:rPr>
            </w:pPr>
            <w:r>
              <w:rPr>
                <w:rFonts w:ascii="Arial" w:eastAsia="Times New Roman" w:hAnsi="Arial" w:cs="Arial"/>
                <w:b/>
                <w:bCs/>
                <w:sz w:val="16"/>
                <w:szCs w:val="16"/>
              </w:rPr>
              <w:t>45.110.159,88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2975" w14:textId="77777777" w:rsidR="00FE0C5A" w:rsidRDefault="000C18DB" w:rsidP="00F113BD">
            <w:pPr>
              <w:spacing w:after="0"/>
              <w:jc w:val="right"/>
              <w:rPr>
                <w:rFonts w:eastAsia="Times New Roman"/>
              </w:rPr>
            </w:pPr>
            <w:r>
              <w:rPr>
                <w:rFonts w:ascii="Arial" w:eastAsia="Times New Roman" w:hAnsi="Arial" w:cs="Arial"/>
                <w:b/>
                <w:bCs/>
                <w:sz w:val="16"/>
                <w:szCs w:val="16"/>
              </w:rPr>
              <w:t>159.706.094,93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C58F4" w14:textId="77777777" w:rsidR="00FE0C5A" w:rsidRDefault="000C18DB" w:rsidP="00F113BD">
            <w:pPr>
              <w:spacing w:after="0"/>
              <w:jc w:val="right"/>
              <w:rPr>
                <w:rFonts w:eastAsia="Times New Roman"/>
              </w:rPr>
            </w:pPr>
            <w:r>
              <w:rPr>
                <w:rFonts w:ascii="Arial" w:eastAsia="Times New Roman" w:hAnsi="Arial" w:cs="Arial"/>
                <w:b/>
                <w:bCs/>
                <w:sz w:val="16"/>
                <w:szCs w:val="16"/>
              </w:rPr>
              <w:t>180.136.028,50</w:t>
            </w:r>
          </w:p>
        </w:tc>
      </w:tr>
    </w:tbl>
    <w:p w14:paraId="0BFCFFF9" w14:textId="77777777" w:rsidR="00FE0C5A" w:rsidRDefault="000C18DB">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962"/>
        <w:gridCol w:w="1393"/>
        <w:gridCol w:w="1240"/>
        <w:gridCol w:w="1827"/>
        <w:gridCol w:w="1124"/>
        <w:gridCol w:w="1221"/>
        <w:gridCol w:w="1221"/>
      </w:tblGrid>
      <w:tr w:rsidR="00FE0C5A" w14:paraId="01EB90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F4A942"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E0C7C" w14:textId="77777777" w:rsidR="00FE0C5A" w:rsidRDefault="000C18DB" w:rsidP="00F113BD">
            <w:pPr>
              <w:spacing w:after="0"/>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1E424" w14:textId="77777777" w:rsidR="00FE0C5A" w:rsidRDefault="000C18DB" w:rsidP="00F113BD">
            <w:pPr>
              <w:spacing w:after="0"/>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9EC8E" w14:textId="77777777" w:rsidR="00FE0C5A" w:rsidRDefault="000C18DB" w:rsidP="00F113BD">
            <w:pPr>
              <w:spacing w:after="0"/>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D542" w14:textId="77777777" w:rsidR="00FE0C5A" w:rsidRDefault="000C18DB" w:rsidP="00F113BD">
            <w:pPr>
              <w:spacing w:after="0"/>
              <w:jc w:val="center"/>
              <w:rPr>
                <w:rFonts w:eastAsia="Times New Roman"/>
              </w:rPr>
            </w:pPr>
            <w:r>
              <w:rPr>
                <w:rFonts w:ascii="Arial" w:eastAsia="Times New Roman" w:hAnsi="Arial" w:cs="Arial"/>
                <w:b/>
                <w:bCs/>
                <w:sz w:val="16"/>
                <w:szCs w:val="16"/>
              </w:rPr>
              <w:t>% da Carteira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61E5E"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7CA5F"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02F560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183C8A" w14:textId="77777777" w:rsidR="00FE0C5A" w:rsidRDefault="000C18DB" w:rsidP="00F113BD">
            <w:pPr>
              <w:spacing w:after="0"/>
              <w:rPr>
                <w:rFonts w:eastAsia="Times New Roman"/>
              </w:rPr>
            </w:pPr>
            <w:r>
              <w:rPr>
                <w:rFonts w:ascii="Arial" w:eastAsia="Times New Roman" w:hAnsi="Arial" w:cs="Arial"/>
                <w:sz w:val="16"/>
                <w:szCs w:val="16"/>
              </w:rPr>
              <w:t xml:space="preserve">Setor Privado - </w:t>
            </w:r>
            <w:r>
              <w:rPr>
                <w:rFonts w:ascii="Arial" w:eastAsia="Times New Roman" w:hAnsi="Arial" w:cs="Arial"/>
                <w:sz w:val="16"/>
                <w:szCs w:val="16"/>
              </w:rPr>
              <w:t>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761FC" w14:textId="77777777" w:rsidR="00FE0C5A" w:rsidRDefault="000C18DB" w:rsidP="00F113BD">
            <w:pPr>
              <w:spacing w:after="0"/>
              <w:jc w:val="right"/>
              <w:rPr>
                <w:rFonts w:eastAsia="Times New Roman"/>
              </w:rPr>
            </w:pPr>
            <w:r>
              <w:rPr>
                <w:rFonts w:ascii="Arial" w:eastAsia="Times New Roman" w:hAnsi="Arial" w:cs="Arial"/>
                <w:sz w:val="16"/>
                <w:szCs w:val="16"/>
              </w:rPr>
              <w:t>3.376.442,37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6E7F2" w14:textId="77777777" w:rsidR="00FE0C5A" w:rsidRDefault="000C18DB" w:rsidP="00F113BD">
            <w:pPr>
              <w:spacing w:after="0"/>
              <w:jc w:val="right"/>
              <w:rPr>
                <w:rFonts w:eastAsia="Times New Roman"/>
              </w:rPr>
            </w:pPr>
            <w:r>
              <w:rPr>
                <w:rFonts w:ascii="Arial" w:eastAsia="Times New Roman" w:hAnsi="Arial" w:cs="Arial"/>
                <w:sz w:val="16"/>
                <w:szCs w:val="16"/>
              </w:rPr>
              <w:t>691.986,06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D223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6F9D1" w14:textId="77777777" w:rsidR="00FE0C5A" w:rsidRDefault="000C18DB" w:rsidP="00F113BD">
            <w:pPr>
              <w:spacing w:after="0"/>
              <w:jc w:val="right"/>
              <w:rPr>
                <w:rFonts w:eastAsia="Times New Roman"/>
              </w:rPr>
            </w:pPr>
            <w:r>
              <w:rPr>
                <w:rFonts w:ascii="Arial" w:eastAsia="Times New Roman" w:hAnsi="Arial" w:cs="Arial"/>
                <w:b/>
                <w:bCs/>
                <w:sz w:val="16"/>
                <w:szCs w:val="16"/>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A8C3C" w14:textId="77777777" w:rsidR="00FE0C5A" w:rsidRDefault="000C18DB" w:rsidP="00F113BD">
            <w:pPr>
              <w:spacing w:after="0"/>
              <w:jc w:val="right"/>
              <w:rPr>
                <w:rFonts w:eastAsia="Times New Roman"/>
              </w:rPr>
            </w:pPr>
            <w:r>
              <w:rPr>
                <w:rFonts w:ascii="Arial" w:eastAsia="Times New Roman" w:hAnsi="Arial" w:cs="Arial"/>
                <w:sz w:val="16"/>
                <w:szCs w:val="16"/>
              </w:rPr>
              <w:t>4.068.428,43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2BFD0" w14:textId="77777777" w:rsidR="00FE0C5A" w:rsidRDefault="000C18DB" w:rsidP="00F113BD">
            <w:pPr>
              <w:spacing w:after="0"/>
              <w:jc w:val="right"/>
              <w:rPr>
                <w:rFonts w:eastAsia="Times New Roman"/>
              </w:rPr>
            </w:pPr>
            <w:r>
              <w:rPr>
                <w:rFonts w:ascii="Arial" w:eastAsia="Times New Roman" w:hAnsi="Arial" w:cs="Arial"/>
                <w:sz w:val="16"/>
                <w:szCs w:val="16"/>
              </w:rPr>
              <w:t>5.305.957,43</w:t>
            </w:r>
          </w:p>
        </w:tc>
      </w:tr>
      <w:tr w:rsidR="00FE0C5A" w14:paraId="6D9FCD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939606" w14:textId="77777777" w:rsidR="00FE0C5A" w:rsidRDefault="000C18DB" w:rsidP="00F113BD">
            <w:pPr>
              <w:spacing w:after="0"/>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F33AF" w14:textId="77777777" w:rsidR="00FE0C5A" w:rsidRDefault="000C18DB" w:rsidP="00F113BD">
            <w:pPr>
              <w:spacing w:after="0"/>
              <w:jc w:val="right"/>
              <w:rPr>
                <w:rFonts w:eastAsia="Times New Roman"/>
              </w:rPr>
            </w:pPr>
            <w:r>
              <w:rPr>
                <w:rFonts w:ascii="Arial" w:eastAsia="Times New Roman" w:hAnsi="Arial" w:cs="Arial"/>
                <w:sz w:val="16"/>
                <w:szCs w:val="16"/>
              </w:rPr>
              <w:t>641.523,38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E8057" w14:textId="77777777" w:rsidR="00FE0C5A" w:rsidRDefault="000C18DB" w:rsidP="00F113BD">
            <w:pPr>
              <w:spacing w:after="0"/>
              <w:jc w:val="right"/>
              <w:rPr>
                <w:rFonts w:eastAsia="Times New Roman"/>
              </w:rPr>
            </w:pPr>
            <w:r>
              <w:rPr>
                <w:rFonts w:ascii="Arial" w:eastAsia="Times New Roman" w:hAnsi="Arial" w:cs="Arial"/>
                <w:sz w:val="16"/>
                <w:szCs w:val="16"/>
              </w:rPr>
              <w:t>8.142,00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E5330"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A1A26" w14:textId="77777777" w:rsidR="00FE0C5A" w:rsidRDefault="000C18DB" w:rsidP="00F113BD">
            <w:pPr>
              <w:spacing w:after="0"/>
              <w:jc w:val="right"/>
              <w:rPr>
                <w:rFonts w:eastAsia="Times New Roman"/>
              </w:rPr>
            </w:pPr>
            <w:r>
              <w:rPr>
                <w:rFonts w:ascii="Arial" w:eastAsia="Times New Roman" w:hAnsi="Arial" w:cs="Arial"/>
                <w:b/>
                <w:bCs/>
                <w:sz w:val="16"/>
                <w:szCs w:val="16"/>
              </w:rPr>
              <w:t>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A091C" w14:textId="77777777" w:rsidR="00FE0C5A" w:rsidRDefault="000C18DB" w:rsidP="00F113BD">
            <w:pPr>
              <w:spacing w:after="0"/>
              <w:jc w:val="right"/>
              <w:rPr>
                <w:rFonts w:eastAsia="Times New Roman"/>
              </w:rPr>
            </w:pPr>
            <w:r>
              <w:rPr>
                <w:rFonts w:ascii="Arial" w:eastAsia="Times New Roman" w:hAnsi="Arial" w:cs="Arial"/>
                <w:sz w:val="16"/>
                <w:szCs w:val="16"/>
              </w:rPr>
              <w:t>649.665,38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C40D4" w14:textId="77777777" w:rsidR="00FE0C5A" w:rsidRDefault="000C18DB" w:rsidP="00F113BD">
            <w:pPr>
              <w:spacing w:after="0"/>
              <w:jc w:val="right"/>
              <w:rPr>
                <w:rFonts w:eastAsia="Times New Roman"/>
              </w:rPr>
            </w:pPr>
            <w:r>
              <w:rPr>
                <w:rFonts w:ascii="Arial" w:eastAsia="Times New Roman" w:hAnsi="Arial" w:cs="Arial"/>
                <w:sz w:val="16"/>
                <w:szCs w:val="16"/>
              </w:rPr>
              <w:t>712.625,97</w:t>
            </w:r>
          </w:p>
        </w:tc>
      </w:tr>
      <w:tr w:rsidR="00FE0C5A" w14:paraId="72BCE4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A306D9" w14:textId="77777777" w:rsidR="00FE0C5A" w:rsidRDefault="000C18DB" w:rsidP="00F113BD">
            <w:pPr>
              <w:spacing w:after="0"/>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A7CEF" w14:textId="77777777" w:rsidR="00FE0C5A" w:rsidRDefault="000C18DB" w:rsidP="00F113BD">
            <w:pPr>
              <w:spacing w:after="0"/>
              <w:jc w:val="right"/>
              <w:rPr>
                <w:rFonts w:eastAsia="Times New Roman"/>
              </w:rPr>
            </w:pPr>
            <w:r>
              <w:rPr>
                <w:rFonts w:ascii="Arial" w:eastAsia="Times New Roman" w:hAnsi="Arial" w:cs="Arial"/>
                <w:sz w:val="16"/>
                <w:szCs w:val="16"/>
              </w:rPr>
              <w:t>26.256.764,23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7CF50" w14:textId="77777777" w:rsidR="00FE0C5A" w:rsidRDefault="000C18DB" w:rsidP="00F113BD">
            <w:pPr>
              <w:spacing w:after="0"/>
              <w:jc w:val="right"/>
              <w:rPr>
                <w:rFonts w:eastAsia="Times New Roman"/>
              </w:rPr>
            </w:pPr>
            <w:r>
              <w:rPr>
                <w:rFonts w:ascii="Arial" w:eastAsia="Times New Roman" w:hAnsi="Arial" w:cs="Arial"/>
                <w:sz w:val="16"/>
                <w:szCs w:val="16"/>
              </w:rPr>
              <w:t>5.418.808,92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91EE2" w14:textId="77777777" w:rsidR="00FE0C5A" w:rsidRDefault="000C18DB" w:rsidP="00F113BD">
            <w:pPr>
              <w:spacing w:after="0"/>
              <w:jc w:val="right"/>
              <w:rPr>
                <w:rFonts w:eastAsia="Times New Roman"/>
              </w:rPr>
            </w:pPr>
            <w:r>
              <w:rPr>
                <w:rFonts w:ascii="Arial" w:eastAsia="Times New Roman" w:hAnsi="Arial" w:cs="Arial"/>
                <w:sz w:val="16"/>
                <w:szCs w:val="16"/>
              </w:rPr>
              <w:t>305.231,94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29062" w14:textId="77777777" w:rsidR="00FE0C5A" w:rsidRDefault="000C18DB" w:rsidP="00F113BD">
            <w:pPr>
              <w:spacing w:after="0"/>
              <w:jc w:val="right"/>
              <w:rPr>
                <w:rFonts w:eastAsia="Times New Roman"/>
              </w:rPr>
            </w:pPr>
            <w:r>
              <w:rPr>
                <w:rFonts w:ascii="Arial" w:eastAsia="Times New Roman" w:hAnsi="Arial" w:cs="Arial"/>
                <w:b/>
                <w:bCs/>
                <w:sz w:val="16"/>
                <w:szCs w:val="16"/>
              </w:rPr>
              <w:t>20,02%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9AFA1" w14:textId="77777777" w:rsidR="00FE0C5A" w:rsidRDefault="000C18DB" w:rsidP="00F113BD">
            <w:pPr>
              <w:spacing w:after="0"/>
              <w:jc w:val="right"/>
              <w:rPr>
                <w:rFonts w:eastAsia="Times New Roman"/>
              </w:rPr>
            </w:pPr>
            <w:r>
              <w:rPr>
                <w:rFonts w:ascii="Arial" w:eastAsia="Times New Roman" w:hAnsi="Arial" w:cs="Arial"/>
                <w:sz w:val="16"/>
                <w:szCs w:val="16"/>
              </w:rPr>
              <w:t>31.980.805,09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39DE3" w14:textId="77777777" w:rsidR="00FE0C5A" w:rsidRDefault="000C18DB" w:rsidP="00F113BD">
            <w:pPr>
              <w:spacing w:after="0"/>
              <w:jc w:val="right"/>
              <w:rPr>
                <w:rFonts w:eastAsia="Times New Roman"/>
              </w:rPr>
            </w:pPr>
            <w:r>
              <w:rPr>
                <w:rFonts w:ascii="Arial" w:eastAsia="Times New Roman" w:hAnsi="Arial" w:cs="Arial"/>
                <w:sz w:val="16"/>
                <w:szCs w:val="16"/>
              </w:rPr>
              <w:t>35.452.987,43</w:t>
            </w:r>
          </w:p>
        </w:tc>
      </w:tr>
      <w:tr w:rsidR="00FE0C5A" w14:paraId="6FC73B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9AF1AA" w14:textId="77777777" w:rsidR="00FE0C5A" w:rsidRDefault="000C18DB" w:rsidP="00F113BD">
            <w:pPr>
              <w:spacing w:after="0"/>
              <w:rPr>
                <w:rFonts w:eastAsia="Times New Roman"/>
              </w:rPr>
            </w:pPr>
            <w:r>
              <w:rPr>
                <w:rFonts w:ascii="Arial" w:eastAsia="Times New Roman" w:hAnsi="Arial" w:cs="Arial"/>
                <w:sz w:val="16"/>
                <w:szCs w:val="16"/>
              </w:rPr>
              <w:t xml:space="preserve">Pessoa </w:t>
            </w:r>
            <w:r>
              <w:rPr>
                <w:rFonts w:ascii="Arial" w:eastAsia="Times New Roman" w:hAnsi="Arial" w:cs="Arial"/>
                <w:sz w:val="16"/>
                <w:szCs w:val="16"/>
              </w:rPr>
              <w:t>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5DB33" w14:textId="77777777" w:rsidR="00FE0C5A" w:rsidRDefault="000C18DB" w:rsidP="00F113BD">
            <w:pPr>
              <w:spacing w:after="0"/>
              <w:jc w:val="right"/>
              <w:rPr>
                <w:rFonts w:eastAsia="Times New Roman"/>
              </w:rPr>
            </w:pPr>
            <w:r>
              <w:rPr>
                <w:rFonts w:ascii="Arial" w:eastAsia="Times New Roman" w:hAnsi="Arial" w:cs="Arial"/>
                <w:sz w:val="16"/>
                <w:szCs w:val="16"/>
              </w:rPr>
              <w:t>29.889.238,87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72890" w14:textId="77777777" w:rsidR="00FE0C5A" w:rsidRDefault="000C18DB" w:rsidP="00F113BD">
            <w:pPr>
              <w:spacing w:after="0"/>
              <w:jc w:val="right"/>
              <w:rPr>
                <w:rFonts w:eastAsia="Times New Roman"/>
              </w:rPr>
            </w:pPr>
            <w:r>
              <w:rPr>
                <w:rFonts w:ascii="Arial" w:eastAsia="Times New Roman" w:hAnsi="Arial" w:cs="Arial"/>
                <w:sz w:val="16"/>
                <w:szCs w:val="16"/>
              </w:rPr>
              <w:t>6.193.875,18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C1207" w14:textId="77777777" w:rsidR="00FE0C5A" w:rsidRDefault="000C18DB" w:rsidP="00F113BD">
            <w:pPr>
              <w:spacing w:after="0"/>
              <w:jc w:val="right"/>
              <w:rPr>
                <w:rFonts w:eastAsia="Times New Roman"/>
              </w:rPr>
            </w:pPr>
            <w:r>
              <w:rPr>
                <w:rFonts w:ascii="Arial" w:eastAsia="Times New Roman" w:hAnsi="Arial" w:cs="Arial"/>
                <w:sz w:val="16"/>
                <w:szCs w:val="16"/>
              </w:rPr>
              <w:t>86.760.903,50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C57CF" w14:textId="77777777" w:rsidR="00FE0C5A" w:rsidRDefault="000C18DB" w:rsidP="00F113BD">
            <w:pPr>
              <w:spacing w:after="0"/>
              <w:jc w:val="right"/>
              <w:rPr>
                <w:rFonts w:eastAsia="Times New Roman"/>
              </w:rPr>
            </w:pPr>
            <w:r>
              <w:rPr>
                <w:rFonts w:ascii="Arial" w:eastAsia="Times New Roman" w:hAnsi="Arial" w:cs="Arial"/>
                <w:b/>
                <w:bCs/>
                <w:sz w:val="16"/>
                <w:szCs w:val="16"/>
              </w:rPr>
              <w:t>76,92%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15BB1" w14:textId="77777777" w:rsidR="00FE0C5A" w:rsidRDefault="000C18DB" w:rsidP="00F113BD">
            <w:pPr>
              <w:spacing w:after="0"/>
              <w:jc w:val="right"/>
              <w:rPr>
                <w:rFonts w:eastAsia="Times New Roman"/>
              </w:rPr>
            </w:pPr>
            <w:r>
              <w:rPr>
                <w:rFonts w:ascii="Arial" w:eastAsia="Times New Roman" w:hAnsi="Arial" w:cs="Arial"/>
                <w:sz w:val="16"/>
                <w:szCs w:val="16"/>
              </w:rPr>
              <w:t>122.844.017,55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777AF" w14:textId="77777777" w:rsidR="00FE0C5A" w:rsidRDefault="000C18DB" w:rsidP="00F113BD">
            <w:pPr>
              <w:spacing w:after="0"/>
              <w:jc w:val="right"/>
              <w:rPr>
                <w:rFonts w:eastAsia="Times New Roman"/>
              </w:rPr>
            </w:pPr>
            <w:r>
              <w:rPr>
                <w:rFonts w:ascii="Arial" w:eastAsia="Times New Roman" w:hAnsi="Arial" w:cs="Arial"/>
                <w:sz w:val="16"/>
                <w:szCs w:val="16"/>
              </w:rPr>
              <w:t>138.467.973,81</w:t>
            </w:r>
          </w:p>
        </w:tc>
      </w:tr>
      <w:tr w:rsidR="00FE0C5A" w14:paraId="55CB17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2F8BAD" w14:textId="77777777" w:rsidR="00FE0C5A" w:rsidRDefault="000C18DB" w:rsidP="00F113BD">
            <w:pPr>
              <w:spacing w:after="0"/>
              <w:rPr>
                <w:rFonts w:eastAsia="Times New Roman"/>
              </w:rPr>
            </w:pPr>
            <w:r>
              <w:rPr>
                <w:rFonts w:ascii="Arial" w:eastAsia="Times New Roman" w:hAnsi="Arial" w:cs="Arial"/>
                <w:sz w:val="16"/>
                <w:szCs w:val="16"/>
              </w:rPr>
              <w:lastRenderedPageBreak/>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E3E7E" w14:textId="77777777" w:rsidR="00FE0C5A" w:rsidRDefault="000C18DB" w:rsidP="00F113BD">
            <w:pPr>
              <w:spacing w:after="0"/>
              <w:jc w:val="right"/>
              <w:rPr>
                <w:rFonts w:eastAsia="Times New Roman"/>
              </w:rPr>
            </w:pPr>
            <w:r>
              <w:rPr>
                <w:rFonts w:ascii="Arial" w:eastAsia="Times New Roman" w:hAnsi="Arial" w:cs="Arial"/>
                <w:sz w:val="16"/>
                <w:szCs w:val="16"/>
              </w:rPr>
              <w:t>163.178,48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04F0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47E8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804A6" w14:textId="77777777" w:rsidR="00FE0C5A" w:rsidRDefault="000C18DB" w:rsidP="00F113BD">
            <w:pPr>
              <w:spacing w:after="0"/>
              <w:jc w:val="right"/>
              <w:rPr>
                <w:rFonts w:eastAsia="Times New Roman"/>
              </w:rPr>
            </w:pPr>
            <w:r>
              <w:rPr>
                <w:rFonts w:ascii="Arial" w:eastAsia="Times New Roman" w:hAnsi="Arial" w:cs="Arial"/>
                <w:b/>
                <w:bCs/>
                <w:sz w:val="16"/>
                <w:szCs w:val="16"/>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71FD5" w14:textId="77777777" w:rsidR="00FE0C5A" w:rsidRDefault="000C18DB" w:rsidP="00F113BD">
            <w:pPr>
              <w:spacing w:after="0"/>
              <w:jc w:val="right"/>
              <w:rPr>
                <w:rFonts w:eastAsia="Times New Roman"/>
              </w:rPr>
            </w:pPr>
            <w:r>
              <w:rPr>
                <w:rFonts w:ascii="Arial" w:eastAsia="Times New Roman" w:hAnsi="Arial" w:cs="Arial"/>
                <w:sz w:val="16"/>
                <w:szCs w:val="16"/>
              </w:rPr>
              <w:t>163.178,48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D0BD0" w14:textId="77777777" w:rsidR="00FE0C5A" w:rsidRDefault="000C18DB" w:rsidP="00F113BD">
            <w:pPr>
              <w:spacing w:after="0"/>
              <w:jc w:val="right"/>
              <w:rPr>
                <w:rFonts w:eastAsia="Times New Roman"/>
              </w:rPr>
            </w:pPr>
            <w:r>
              <w:rPr>
                <w:rFonts w:ascii="Arial" w:eastAsia="Times New Roman" w:hAnsi="Arial" w:cs="Arial"/>
                <w:sz w:val="16"/>
                <w:szCs w:val="16"/>
              </w:rPr>
              <w:t>196.483,86</w:t>
            </w:r>
          </w:p>
        </w:tc>
      </w:tr>
      <w:tr w:rsidR="00FE0C5A" w14:paraId="5F5479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5D33BE"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6EE2A" w14:textId="77777777" w:rsidR="00FE0C5A" w:rsidRDefault="000C18DB" w:rsidP="00F113BD">
            <w:pPr>
              <w:spacing w:after="0"/>
              <w:jc w:val="right"/>
              <w:rPr>
                <w:rFonts w:eastAsia="Times New Roman"/>
              </w:rPr>
            </w:pPr>
            <w:r>
              <w:rPr>
                <w:rFonts w:ascii="Arial" w:eastAsia="Times New Roman" w:hAnsi="Arial" w:cs="Arial"/>
                <w:b/>
                <w:bCs/>
                <w:sz w:val="16"/>
                <w:szCs w:val="16"/>
              </w:rPr>
              <w:t>60.327.147,33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BC20F" w14:textId="77777777" w:rsidR="00FE0C5A" w:rsidRDefault="000C18DB" w:rsidP="00F113BD">
            <w:pPr>
              <w:spacing w:after="0"/>
              <w:jc w:val="right"/>
              <w:rPr>
                <w:rFonts w:eastAsia="Times New Roman"/>
              </w:rPr>
            </w:pPr>
            <w:r>
              <w:rPr>
                <w:rFonts w:ascii="Arial" w:eastAsia="Times New Roman" w:hAnsi="Arial" w:cs="Arial"/>
                <w:b/>
                <w:bCs/>
                <w:sz w:val="16"/>
                <w:szCs w:val="16"/>
              </w:rPr>
              <w:t>12.312.812,16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09C93" w14:textId="77777777" w:rsidR="00FE0C5A" w:rsidRDefault="000C18DB" w:rsidP="00F113BD">
            <w:pPr>
              <w:spacing w:after="0"/>
              <w:jc w:val="right"/>
              <w:rPr>
                <w:rFonts w:eastAsia="Times New Roman"/>
              </w:rPr>
            </w:pPr>
            <w:r>
              <w:rPr>
                <w:rFonts w:ascii="Arial" w:eastAsia="Times New Roman" w:hAnsi="Arial" w:cs="Arial"/>
                <w:b/>
                <w:bCs/>
                <w:sz w:val="16"/>
                <w:szCs w:val="16"/>
              </w:rPr>
              <w:t>87.066.135,44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3BF85" w14:textId="77777777" w:rsidR="00FE0C5A" w:rsidRDefault="000C18DB" w:rsidP="00F113BD">
            <w:pPr>
              <w:spacing w:after="0"/>
              <w:jc w:val="right"/>
              <w:rPr>
                <w:rFonts w:eastAsia="Times New Roman"/>
              </w:rPr>
            </w:pPr>
            <w:r>
              <w:rPr>
                <w:rFonts w:ascii="Arial" w:eastAsia="Times New Roman" w:hAnsi="Arial" w:cs="Arial"/>
                <w:b/>
                <w:bCs/>
                <w:sz w:val="16"/>
                <w:szCs w:val="16"/>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71E91" w14:textId="77777777" w:rsidR="00FE0C5A" w:rsidRDefault="000C18DB" w:rsidP="00F113BD">
            <w:pPr>
              <w:spacing w:after="0"/>
              <w:jc w:val="right"/>
              <w:rPr>
                <w:rFonts w:eastAsia="Times New Roman"/>
              </w:rPr>
            </w:pPr>
            <w:r>
              <w:rPr>
                <w:rFonts w:ascii="Arial" w:eastAsia="Times New Roman" w:hAnsi="Arial" w:cs="Arial"/>
                <w:b/>
                <w:bCs/>
                <w:sz w:val="16"/>
                <w:szCs w:val="16"/>
              </w:rPr>
              <w:t>159.706.094,93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C84EE" w14:textId="77777777" w:rsidR="00FE0C5A" w:rsidRDefault="000C18DB" w:rsidP="00F113BD">
            <w:pPr>
              <w:spacing w:after="0"/>
              <w:jc w:val="right"/>
              <w:rPr>
                <w:rFonts w:eastAsia="Times New Roman"/>
              </w:rPr>
            </w:pPr>
            <w:r>
              <w:rPr>
                <w:rFonts w:ascii="Arial" w:eastAsia="Times New Roman" w:hAnsi="Arial" w:cs="Arial"/>
                <w:b/>
                <w:bCs/>
                <w:sz w:val="16"/>
                <w:szCs w:val="16"/>
              </w:rPr>
              <w:t>180.136.028,50</w:t>
            </w:r>
          </w:p>
        </w:tc>
      </w:tr>
    </w:tbl>
    <w:p w14:paraId="0F5E4C5E" w14:textId="32612C5C" w:rsidR="00FE0C5A" w:rsidRDefault="000C18DB">
      <w:pPr>
        <w:pStyle w:val="NormalWeb"/>
        <w:jc w:val="both"/>
      </w:pPr>
      <w:r>
        <w:rPr>
          <w:rFonts w:ascii="Arial" w:hAnsi="Arial" w:cs="Arial"/>
          <w:sz w:val="20"/>
          <w:szCs w:val="20"/>
        </w:rPr>
        <w:t xml:space="preserve">e) Movimentação da provisão para créditos de liquidação duvidosa de operações de crédito: </w:t>
      </w:r>
    </w:p>
    <w:tbl>
      <w:tblPr>
        <w:tblW w:w="5000" w:type="pct"/>
        <w:tblCellMar>
          <w:left w:w="70" w:type="dxa"/>
          <w:right w:w="70" w:type="dxa"/>
        </w:tblCellMar>
        <w:tblLook w:val="04A0" w:firstRow="1" w:lastRow="0" w:firstColumn="1" w:lastColumn="0" w:noHBand="0" w:noVBand="1"/>
      </w:tblPr>
      <w:tblGrid>
        <w:gridCol w:w="5331"/>
        <w:gridCol w:w="2465"/>
        <w:gridCol w:w="2316"/>
      </w:tblGrid>
      <w:tr w:rsidR="0024003D" w:rsidRPr="0024003D" w14:paraId="0E21595A" w14:textId="77777777" w:rsidTr="0024003D">
        <w:trPr>
          <w:trHeight w:val="300"/>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EF707" w14:textId="77777777" w:rsidR="0024003D" w:rsidRPr="0024003D" w:rsidRDefault="0024003D" w:rsidP="0024003D">
            <w:pPr>
              <w:spacing w:after="0" w:line="240" w:lineRule="auto"/>
              <w:jc w:val="center"/>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5B879B89" w14:textId="77777777" w:rsidR="0024003D" w:rsidRPr="0024003D" w:rsidRDefault="0024003D" w:rsidP="0024003D">
            <w:pPr>
              <w:spacing w:after="0" w:line="240" w:lineRule="auto"/>
              <w:jc w:val="center"/>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31/12/2023</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7C66C85C" w14:textId="77777777" w:rsidR="0024003D" w:rsidRPr="0024003D" w:rsidRDefault="0024003D" w:rsidP="0024003D">
            <w:pPr>
              <w:spacing w:after="0" w:line="240" w:lineRule="auto"/>
              <w:jc w:val="center"/>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31/12/2022</w:t>
            </w:r>
          </w:p>
        </w:tc>
      </w:tr>
      <w:tr w:rsidR="0024003D" w:rsidRPr="0024003D" w14:paraId="42152F0C" w14:textId="77777777" w:rsidTr="0024003D">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06D82C6" w14:textId="77777777" w:rsidR="0024003D" w:rsidRPr="0024003D" w:rsidRDefault="0024003D" w:rsidP="0024003D">
            <w:pPr>
              <w:spacing w:after="0" w:line="240" w:lineRule="auto"/>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Saldo inicial</w:t>
            </w:r>
          </w:p>
        </w:tc>
        <w:tc>
          <w:tcPr>
            <w:tcW w:w="1219" w:type="pct"/>
            <w:tcBorders>
              <w:top w:val="nil"/>
              <w:left w:val="nil"/>
              <w:bottom w:val="single" w:sz="4" w:space="0" w:color="auto"/>
              <w:right w:val="single" w:sz="4" w:space="0" w:color="auto"/>
            </w:tcBorders>
            <w:shd w:val="clear" w:color="000000" w:fill="FFFFFF"/>
            <w:vAlign w:val="center"/>
            <w:hideMark/>
          </w:tcPr>
          <w:p w14:paraId="743EBECB" w14:textId="77777777" w:rsidR="0024003D" w:rsidRPr="0024003D" w:rsidRDefault="0024003D" w:rsidP="0024003D">
            <w:pPr>
              <w:spacing w:after="0" w:line="240" w:lineRule="auto"/>
              <w:jc w:val="right"/>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 xml:space="preserve">5.032.345,31 </w:t>
            </w:r>
          </w:p>
        </w:tc>
        <w:tc>
          <w:tcPr>
            <w:tcW w:w="1145" w:type="pct"/>
            <w:tcBorders>
              <w:top w:val="nil"/>
              <w:left w:val="nil"/>
              <w:bottom w:val="single" w:sz="4" w:space="0" w:color="auto"/>
              <w:right w:val="single" w:sz="4" w:space="0" w:color="auto"/>
            </w:tcBorders>
            <w:shd w:val="clear" w:color="000000" w:fill="FFFFFF"/>
            <w:vAlign w:val="center"/>
            <w:hideMark/>
          </w:tcPr>
          <w:p w14:paraId="262A5BEC" w14:textId="77777777" w:rsidR="0024003D" w:rsidRPr="0024003D" w:rsidRDefault="0024003D" w:rsidP="0024003D">
            <w:pPr>
              <w:spacing w:after="0" w:line="240" w:lineRule="auto"/>
              <w:jc w:val="right"/>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 xml:space="preserve">3.258.421,02 </w:t>
            </w:r>
          </w:p>
        </w:tc>
      </w:tr>
      <w:tr w:rsidR="0024003D" w:rsidRPr="0024003D" w14:paraId="65AFE7D8" w14:textId="77777777" w:rsidTr="0024003D">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41BAAFAF" w14:textId="77777777" w:rsidR="0024003D" w:rsidRPr="0024003D" w:rsidRDefault="0024003D" w:rsidP="0024003D">
            <w:pPr>
              <w:spacing w:after="0" w:line="240" w:lineRule="auto"/>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Constituições/ Reversões no período</w:t>
            </w:r>
          </w:p>
        </w:tc>
        <w:tc>
          <w:tcPr>
            <w:tcW w:w="1219" w:type="pct"/>
            <w:tcBorders>
              <w:top w:val="nil"/>
              <w:left w:val="nil"/>
              <w:bottom w:val="single" w:sz="4" w:space="0" w:color="auto"/>
              <w:right w:val="single" w:sz="4" w:space="0" w:color="auto"/>
            </w:tcBorders>
            <w:shd w:val="clear" w:color="000000" w:fill="FFFFFF"/>
            <w:vAlign w:val="center"/>
            <w:hideMark/>
          </w:tcPr>
          <w:p w14:paraId="31F29BA0"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 xml:space="preserve">4.507.725,51 </w:t>
            </w:r>
          </w:p>
        </w:tc>
        <w:tc>
          <w:tcPr>
            <w:tcW w:w="1145" w:type="pct"/>
            <w:tcBorders>
              <w:top w:val="nil"/>
              <w:left w:val="nil"/>
              <w:bottom w:val="single" w:sz="4" w:space="0" w:color="auto"/>
              <w:right w:val="single" w:sz="4" w:space="0" w:color="auto"/>
            </w:tcBorders>
            <w:shd w:val="clear" w:color="000000" w:fill="FFFFFF"/>
            <w:vAlign w:val="center"/>
            <w:hideMark/>
          </w:tcPr>
          <w:p w14:paraId="434914CD"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 xml:space="preserve">2.347.320,88 </w:t>
            </w:r>
          </w:p>
        </w:tc>
      </w:tr>
      <w:tr w:rsidR="0024003D" w:rsidRPr="0024003D" w14:paraId="6521525A" w14:textId="77777777" w:rsidTr="0024003D">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285E2E79" w14:textId="77777777" w:rsidR="0024003D" w:rsidRPr="0024003D" w:rsidRDefault="0024003D" w:rsidP="0024003D">
            <w:pPr>
              <w:spacing w:after="0" w:line="240" w:lineRule="auto"/>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Transferência para prejuízo no período</w:t>
            </w:r>
          </w:p>
        </w:tc>
        <w:tc>
          <w:tcPr>
            <w:tcW w:w="1219" w:type="pct"/>
            <w:tcBorders>
              <w:top w:val="nil"/>
              <w:left w:val="nil"/>
              <w:bottom w:val="single" w:sz="4" w:space="0" w:color="auto"/>
              <w:right w:val="single" w:sz="4" w:space="0" w:color="auto"/>
            </w:tcBorders>
            <w:shd w:val="clear" w:color="000000" w:fill="FFFFFF"/>
            <w:vAlign w:val="center"/>
            <w:hideMark/>
          </w:tcPr>
          <w:p w14:paraId="4029AC1A"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(1.322.810,01)</w:t>
            </w:r>
          </w:p>
        </w:tc>
        <w:tc>
          <w:tcPr>
            <w:tcW w:w="1145" w:type="pct"/>
            <w:tcBorders>
              <w:top w:val="nil"/>
              <w:left w:val="nil"/>
              <w:bottom w:val="single" w:sz="4" w:space="0" w:color="auto"/>
              <w:right w:val="single" w:sz="4" w:space="0" w:color="auto"/>
            </w:tcBorders>
            <w:shd w:val="clear" w:color="000000" w:fill="FFFFFF"/>
            <w:vAlign w:val="center"/>
            <w:hideMark/>
          </w:tcPr>
          <w:p w14:paraId="19BC3A9D"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(573.396,59)</w:t>
            </w:r>
          </w:p>
        </w:tc>
      </w:tr>
      <w:tr w:rsidR="0024003D" w:rsidRPr="0024003D" w14:paraId="352E196E" w14:textId="77777777" w:rsidTr="0024003D">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4A61452D" w14:textId="77777777" w:rsidR="0024003D" w:rsidRPr="0024003D" w:rsidRDefault="0024003D" w:rsidP="0024003D">
            <w:pPr>
              <w:spacing w:after="0" w:line="240" w:lineRule="auto"/>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Saldo Final</w:t>
            </w:r>
          </w:p>
        </w:tc>
        <w:tc>
          <w:tcPr>
            <w:tcW w:w="1219" w:type="pct"/>
            <w:tcBorders>
              <w:top w:val="nil"/>
              <w:left w:val="nil"/>
              <w:bottom w:val="single" w:sz="4" w:space="0" w:color="auto"/>
              <w:right w:val="single" w:sz="4" w:space="0" w:color="auto"/>
            </w:tcBorders>
            <w:shd w:val="clear" w:color="000000" w:fill="FFFFFF"/>
            <w:vAlign w:val="center"/>
            <w:hideMark/>
          </w:tcPr>
          <w:p w14:paraId="10A79A34" w14:textId="77777777" w:rsidR="0024003D" w:rsidRPr="0024003D" w:rsidRDefault="0024003D" w:rsidP="0024003D">
            <w:pPr>
              <w:spacing w:after="0" w:line="240" w:lineRule="auto"/>
              <w:jc w:val="right"/>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 xml:space="preserve">8.217.260,81 </w:t>
            </w:r>
          </w:p>
        </w:tc>
        <w:tc>
          <w:tcPr>
            <w:tcW w:w="1145" w:type="pct"/>
            <w:tcBorders>
              <w:top w:val="nil"/>
              <w:left w:val="nil"/>
              <w:bottom w:val="single" w:sz="4" w:space="0" w:color="auto"/>
              <w:right w:val="single" w:sz="4" w:space="0" w:color="auto"/>
            </w:tcBorders>
            <w:shd w:val="clear" w:color="000000" w:fill="FFFFFF"/>
            <w:vAlign w:val="center"/>
            <w:hideMark/>
          </w:tcPr>
          <w:p w14:paraId="08D381FA" w14:textId="77777777" w:rsidR="0024003D" w:rsidRPr="0024003D" w:rsidRDefault="0024003D" w:rsidP="0024003D">
            <w:pPr>
              <w:spacing w:after="0" w:line="240" w:lineRule="auto"/>
              <w:jc w:val="right"/>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 xml:space="preserve">5.032.345,31 </w:t>
            </w:r>
          </w:p>
        </w:tc>
      </w:tr>
    </w:tbl>
    <w:p w14:paraId="7DD2C740" w14:textId="77777777" w:rsidR="00FE0C5A" w:rsidRDefault="000C18DB">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640"/>
        <w:gridCol w:w="1688"/>
        <w:gridCol w:w="1986"/>
        <w:gridCol w:w="1688"/>
        <w:gridCol w:w="1986"/>
      </w:tblGrid>
      <w:tr w:rsidR="00FE0C5A" w14:paraId="5BCE59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32CF80"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F0EAF"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3175B" w14:textId="77777777" w:rsidR="00FE0C5A" w:rsidRDefault="000C18DB" w:rsidP="00F113BD">
            <w:pPr>
              <w:spacing w:after="0"/>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3D859"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FA373" w14:textId="77777777" w:rsidR="00FE0C5A" w:rsidRDefault="000C18DB" w:rsidP="00F113BD">
            <w:pPr>
              <w:spacing w:after="0"/>
              <w:jc w:val="center"/>
              <w:rPr>
                <w:rFonts w:eastAsia="Times New Roman"/>
              </w:rPr>
            </w:pPr>
            <w:r>
              <w:rPr>
                <w:rFonts w:ascii="Arial" w:eastAsia="Times New Roman" w:hAnsi="Arial" w:cs="Arial"/>
                <w:b/>
                <w:bCs/>
                <w:sz w:val="16"/>
                <w:szCs w:val="16"/>
              </w:rPr>
              <w:t>% Carteira Total</w:t>
            </w:r>
          </w:p>
        </w:tc>
      </w:tr>
      <w:tr w:rsidR="0024003D" w14:paraId="1592FEDD" w14:textId="77777777" w:rsidTr="005B4029">
        <w:tc>
          <w:tcPr>
            <w:tcW w:w="0" w:type="auto"/>
            <w:tcBorders>
              <w:top w:val="outset" w:sz="6" w:space="0" w:color="auto"/>
              <w:left w:val="outset" w:sz="6" w:space="0" w:color="auto"/>
              <w:bottom w:val="outset" w:sz="6" w:space="0" w:color="auto"/>
              <w:right w:val="outset" w:sz="6" w:space="0" w:color="auto"/>
            </w:tcBorders>
            <w:vAlign w:val="center"/>
            <w:hideMark/>
          </w:tcPr>
          <w:p w14:paraId="16580450" w14:textId="77777777" w:rsidR="0024003D" w:rsidRDefault="0024003D" w:rsidP="0024003D">
            <w:pPr>
              <w:spacing w:after="0"/>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A27AF" w14:textId="77777777" w:rsidR="0024003D" w:rsidRDefault="0024003D" w:rsidP="0024003D">
            <w:pPr>
              <w:spacing w:after="0"/>
              <w:jc w:val="right"/>
              <w:rPr>
                <w:rFonts w:eastAsia="Times New Roman"/>
              </w:rPr>
            </w:pPr>
            <w:r>
              <w:rPr>
                <w:rFonts w:ascii="Arial" w:eastAsia="Times New Roman" w:hAnsi="Arial" w:cs="Arial"/>
                <w:sz w:val="16"/>
                <w:szCs w:val="16"/>
              </w:rPr>
              <w:t>5.549.691,72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14E60" w14:textId="77777777" w:rsidR="0024003D" w:rsidRDefault="0024003D" w:rsidP="0024003D">
            <w:pPr>
              <w:spacing w:after="0"/>
              <w:jc w:val="right"/>
              <w:rPr>
                <w:rFonts w:eastAsia="Times New Roman"/>
              </w:rPr>
            </w:pPr>
            <w:r>
              <w:rPr>
                <w:rFonts w:ascii="Arial" w:eastAsia="Times New Roman" w:hAnsi="Arial" w:cs="Arial"/>
                <w:sz w:val="16"/>
                <w:szCs w:val="16"/>
              </w:rPr>
              <w:t>2,86%</w:t>
            </w:r>
          </w:p>
        </w:tc>
        <w:tc>
          <w:tcPr>
            <w:tcW w:w="0" w:type="auto"/>
            <w:tcBorders>
              <w:top w:val="outset" w:sz="6" w:space="0" w:color="auto"/>
              <w:left w:val="outset" w:sz="6" w:space="0" w:color="auto"/>
              <w:bottom w:val="outset" w:sz="6" w:space="0" w:color="auto"/>
              <w:right w:val="outset" w:sz="6" w:space="0" w:color="auto"/>
            </w:tcBorders>
            <w:hideMark/>
          </w:tcPr>
          <w:p w14:paraId="55E87EA2" w14:textId="4A4A509C" w:rsidR="0024003D" w:rsidRDefault="0024003D" w:rsidP="0024003D">
            <w:pPr>
              <w:spacing w:after="0"/>
              <w:jc w:val="right"/>
              <w:rPr>
                <w:rFonts w:eastAsia="Times New Roman"/>
              </w:rPr>
            </w:pPr>
            <w:r w:rsidRPr="002074DA">
              <w:rPr>
                <w:rFonts w:ascii="ArialMT" w:hAnsi="ArialMT" w:cs="ArialMT"/>
                <w:kern w:val="0"/>
                <w:sz w:val="16"/>
                <w:szCs w:val="16"/>
              </w:rPr>
              <w:t>3.071.088,16</w:t>
            </w:r>
          </w:p>
        </w:tc>
        <w:tc>
          <w:tcPr>
            <w:tcW w:w="0" w:type="auto"/>
            <w:tcBorders>
              <w:top w:val="outset" w:sz="6" w:space="0" w:color="auto"/>
              <w:left w:val="outset" w:sz="6" w:space="0" w:color="auto"/>
              <w:bottom w:val="outset" w:sz="6" w:space="0" w:color="auto"/>
              <w:right w:val="outset" w:sz="6" w:space="0" w:color="auto"/>
            </w:tcBorders>
            <w:hideMark/>
          </w:tcPr>
          <w:p w14:paraId="534EEAD0" w14:textId="3B879DC9" w:rsidR="0024003D" w:rsidRDefault="0024003D" w:rsidP="0024003D">
            <w:pPr>
              <w:spacing w:after="0"/>
              <w:jc w:val="right"/>
              <w:rPr>
                <w:rFonts w:eastAsia="Times New Roman"/>
              </w:rPr>
            </w:pPr>
            <w:r w:rsidRPr="000E2ADE">
              <w:rPr>
                <w:rFonts w:ascii="ArialMT" w:hAnsi="ArialMT" w:cs="ArialMT"/>
                <w:kern w:val="0"/>
                <w:sz w:val="16"/>
                <w:szCs w:val="16"/>
              </w:rPr>
              <w:t>1,70%</w:t>
            </w:r>
          </w:p>
        </w:tc>
      </w:tr>
      <w:tr w:rsidR="0024003D" w14:paraId="5A77DFB2" w14:textId="77777777" w:rsidTr="005B4029">
        <w:tc>
          <w:tcPr>
            <w:tcW w:w="0" w:type="auto"/>
            <w:tcBorders>
              <w:top w:val="outset" w:sz="6" w:space="0" w:color="auto"/>
              <w:left w:val="outset" w:sz="6" w:space="0" w:color="auto"/>
              <w:bottom w:val="outset" w:sz="6" w:space="0" w:color="auto"/>
              <w:right w:val="outset" w:sz="6" w:space="0" w:color="auto"/>
            </w:tcBorders>
            <w:vAlign w:val="center"/>
            <w:hideMark/>
          </w:tcPr>
          <w:p w14:paraId="43481AD5" w14:textId="77777777" w:rsidR="0024003D" w:rsidRDefault="0024003D" w:rsidP="0024003D">
            <w:pPr>
              <w:spacing w:after="0"/>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A4036" w14:textId="77777777" w:rsidR="0024003D" w:rsidRDefault="0024003D" w:rsidP="0024003D">
            <w:pPr>
              <w:spacing w:after="0"/>
              <w:jc w:val="right"/>
              <w:rPr>
                <w:rFonts w:eastAsia="Times New Roman"/>
              </w:rPr>
            </w:pPr>
            <w:r>
              <w:rPr>
                <w:rFonts w:ascii="Arial" w:eastAsia="Times New Roman" w:hAnsi="Arial" w:cs="Arial"/>
                <w:sz w:val="16"/>
                <w:szCs w:val="16"/>
              </w:rPr>
              <w:t>29.820.127,73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E2180" w14:textId="253C3DAE" w:rsidR="0024003D" w:rsidRDefault="0024003D" w:rsidP="0024003D">
            <w:pPr>
              <w:spacing w:after="0"/>
              <w:jc w:val="right"/>
              <w:rPr>
                <w:rFonts w:eastAsia="Times New Roman"/>
              </w:rPr>
            </w:pPr>
            <w:r>
              <w:rPr>
                <w:rFonts w:ascii="Arial" w:eastAsia="Times New Roman" w:hAnsi="Arial" w:cs="Arial"/>
                <w:sz w:val="16"/>
                <w:szCs w:val="16"/>
              </w:rPr>
              <w:t>15,39%</w:t>
            </w:r>
          </w:p>
        </w:tc>
        <w:tc>
          <w:tcPr>
            <w:tcW w:w="0" w:type="auto"/>
            <w:tcBorders>
              <w:top w:val="outset" w:sz="6" w:space="0" w:color="auto"/>
              <w:left w:val="outset" w:sz="6" w:space="0" w:color="auto"/>
              <w:bottom w:val="outset" w:sz="6" w:space="0" w:color="auto"/>
              <w:right w:val="outset" w:sz="6" w:space="0" w:color="auto"/>
            </w:tcBorders>
            <w:hideMark/>
          </w:tcPr>
          <w:p w14:paraId="3A17E2B9" w14:textId="38DB7170" w:rsidR="0024003D" w:rsidRDefault="0024003D" w:rsidP="0024003D">
            <w:pPr>
              <w:spacing w:after="0"/>
              <w:jc w:val="right"/>
              <w:rPr>
                <w:rFonts w:eastAsia="Times New Roman"/>
              </w:rPr>
            </w:pPr>
            <w:r w:rsidRPr="002074DA">
              <w:rPr>
                <w:rFonts w:ascii="ArialMT" w:hAnsi="ArialMT" w:cs="ArialMT"/>
                <w:kern w:val="0"/>
                <w:sz w:val="16"/>
                <w:szCs w:val="16"/>
              </w:rPr>
              <w:t>24.724.614,85</w:t>
            </w:r>
          </w:p>
        </w:tc>
        <w:tc>
          <w:tcPr>
            <w:tcW w:w="0" w:type="auto"/>
            <w:tcBorders>
              <w:top w:val="outset" w:sz="6" w:space="0" w:color="auto"/>
              <w:left w:val="outset" w:sz="6" w:space="0" w:color="auto"/>
              <w:bottom w:val="outset" w:sz="6" w:space="0" w:color="auto"/>
              <w:right w:val="outset" w:sz="6" w:space="0" w:color="auto"/>
            </w:tcBorders>
            <w:hideMark/>
          </w:tcPr>
          <w:p w14:paraId="4161A807" w14:textId="59FD2698" w:rsidR="0024003D" w:rsidRDefault="0024003D" w:rsidP="0024003D">
            <w:pPr>
              <w:spacing w:after="0"/>
              <w:jc w:val="right"/>
              <w:rPr>
                <w:rFonts w:eastAsia="Times New Roman"/>
              </w:rPr>
            </w:pPr>
            <w:r w:rsidRPr="000E2ADE">
              <w:rPr>
                <w:rFonts w:ascii="ArialMT" w:hAnsi="ArialMT" w:cs="ArialMT"/>
                <w:kern w:val="0"/>
                <w:sz w:val="16"/>
                <w:szCs w:val="16"/>
              </w:rPr>
              <w:t>13,71%</w:t>
            </w:r>
          </w:p>
        </w:tc>
      </w:tr>
      <w:tr w:rsidR="0024003D" w14:paraId="283FD18B" w14:textId="77777777" w:rsidTr="005B4029">
        <w:tc>
          <w:tcPr>
            <w:tcW w:w="0" w:type="auto"/>
            <w:tcBorders>
              <w:top w:val="outset" w:sz="6" w:space="0" w:color="auto"/>
              <w:left w:val="outset" w:sz="6" w:space="0" w:color="auto"/>
              <w:bottom w:val="outset" w:sz="6" w:space="0" w:color="auto"/>
              <w:right w:val="outset" w:sz="6" w:space="0" w:color="auto"/>
            </w:tcBorders>
            <w:vAlign w:val="center"/>
            <w:hideMark/>
          </w:tcPr>
          <w:p w14:paraId="43CD909F" w14:textId="77777777" w:rsidR="0024003D" w:rsidRDefault="0024003D" w:rsidP="0024003D">
            <w:pPr>
              <w:spacing w:after="0"/>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1FF40" w14:textId="77777777" w:rsidR="0024003D" w:rsidRDefault="0024003D" w:rsidP="0024003D">
            <w:pPr>
              <w:spacing w:after="0"/>
              <w:jc w:val="right"/>
              <w:rPr>
                <w:rFonts w:eastAsia="Times New Roman"/>
              </w:rPr>
            </w:pPr>
            <w:r>
              <w:rPr>
                <w:rFonts w:ascii="Arial" w:eastAsia="Times New Roman" w:hAnsi="Arial" w:cs="Arial"/>
                <w:sz w:val="16"/>
                <w:szCs w:val="16"/>
              </w:rPr>
              <w:t>78.553.881,33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A0BC5" w14:textId="77777777" w:rsidR="0024003D" w:rsidRDefault="0024003D" w:rsidP="0024003D">
            <w:pPr>
              <w:spacing w:after="0"/>
              <w:jc w:val="right"/>
              <w:rPr>
                <w:rFonts w:eastAsia="Times New Roman"/>
              </w:rPr>
            </w:pPr>
            <w:r>
              <w:rPr>
                <w:rFonts w:ascii="Arial" w:eastAsia="Times New Roman" w:hAnsi="Arial" w:cs="Arial"/>
                <w:sz w:val="16"/>
                <w:szCs w:val="16"/>
              </w:rPr>
              <w:t>40,51%</w:t>
            </w:r>
          </w:p>
        </w:tc>
        <w:tc>
          <w:tcPr>
            <w:tcW w:w="0" w:type="auto"/>
            <w:tcBorders>
              <w:top w:val="outset" w:sz="6" w:space="0" w:color="auto"/>
              <w:left w:val="outset" w:sz="6" w:space="0" w:color="auto"/>
              <w:bottom w:val="outset" w:sz="6" w:space="0" w:color="auto"/>
              <w:right w:val="outset" w:sz="6" w:space="0" w:color="auto"/>
            </w:tcBorders>
            <w:hideMark/>
          </w:tcPr>
          <w:p w14:paraId="57427662" w14:textId="50F17C7B" w:rsidR="0024003D" w:rsidRDefault="0024003D" w:rsidP="0024003D">
            <w:pPr>
              <w:spacing w:after="0"/>
              <w:jc w:val="right"/>
              <w:rPr>
                <w:rFonts w:eastAsia="Times New Roman"/>
              </w:rPr>
            </w:pPr>
            <w:r w:rsidRPr="002074DA">
              <w:rPr>
                <w:rFonts w:ascii="ArialMT" w:hAnsi="ArialMT" w:cs="ArialMT"/>
                <w:kern w:val="0"/>
                <w:sz w:val="16"/>
                <w:szCs w:val="16"/>
              </w:rPr>
              <w:t>73.363.369,52</w:t>
            </w:r>
          </w:p>
        </w:tc>
        <w:tc>
          <w:tcPr>
            <w:tcW w:w="0" w:type="auto"/>
            <w:tcBorders>
              <w:top w:val="outset" w:sz="6" w:space="0" w:color="auto"/>
              <w:left w:val="outset" w:sz="6" w:space="0" w:color="auto"/>
              <w:bottom w:val="outset" w:sz="6" w:space="0" w:color="auto"/>
              <w:right w:val="outset" w:sz="6" w:space="0" w:color="auto"/>
            </w:tcBorders>
            <w:hideMark/>
          </w:tcPr>
          <w:p w14:paraId="2BC46412" w14:textId="27A624E6" w:rsidR="0024003D" w:rsidRDefault="0024003D" w:rsidP="0024003D">
            <w:pPr>
              <w:spacing w:after="0"/>
              <w:jc w:val="right"/>
              <w:rPr>
                <w:rFonts w:eastAsia="Times New Roman"/>
              </w:rPr>
            </w:pPr>
            <w:r w:rsidRPr="000E2ADE">
              <w:rPr>
                <w:rFonts w:ascii="ArialMT" w:hAnsi="ArialMT" w:cs="ArialMT"/>
                <w:kern w:val="0"/>
                <w:sz w:val="16"/>
                <w:szCs w:val="16"/>
              </w:rPr>
              <w:t>40,68%</w:t>
            </w:r>
          </w:p>
        </w:tc>
      </w:tr>
    </w:tbl>
    <w:p w14:paraId="1B8C6FAF" w14:textId="77777777" w:rsidR="00FE0C5A" w:rsidRDefault="000C18DB">
      <w:pPr>
        <w:pStyle w:val="NormalWeb"/>
        <w:jc w:val="both"/>
      </w:pPr>
      <w:r>
        <w:rPr>
          <w:rFonts w:ascii="Arial" w:hAnsi="Arial" w:cs="Arial"/>
          <w:sz w:val="20"/>
          <w:szCs w:val="20"/>
        </w:rPr>
        <w:t xml:space="preserve">Compõe o saldo da concentração de devedores as operações de crédito e as operações de outros </w:t>
      </w:r>
      <w:r>
        <w:rPr>
          <w:rFonts w:ascii="Arial" w:hAnsi="Arial" w:cs="Arial"/>
          <w:sz w:val="20"/>
          <w:szCs w:val="20"/>
        </w:rPr>
        <w:t>créditos. Não estão contemplados no saldo os valores de encargos financeiros gerados pela utilização de limites de cheque especial.</w:t>
      </w:r>
    </w:p>
    <w:p w14:paraId="75A55D58" w14:textId="1316F6BC" w:rsidR="00FE0C5A" w:rsidRDefault="000C18DB">
      <w:pPr>
        <w:pStyle w:val="NormalWeb"/>
      </w:pPr>
      <w:r>
        <w:rPr>
          <w:rFonts w:ascii="Arial" w:hAnsi="Arial" w:cs="Arial"/>
          <w:sz w:val="20"/>
          <w:szCs w:val="20"/>
        </w:rPr>
        <w:t xml:space="preserve">g) Movimentação de créditos baixados como prejuízo: </w:t>
      </w:r>
    </w:p>
    <w:tbl>
      <w:tblPr>
        <w:tblW w:w="5000" w:type="pct"/>
        <w:tblCellMar>
          <w:left w:w="70" w:type="dxa"/>
          <w:right w:w="70" w:type="dxa"/>
        </w:tblCellMar>
        <w:tblLook w:val="04A0" w:firstRow="1" w:lastRow="0" w:firstColumn="1" w:lastColumn="0" w:noHBand="0" w:noVBand="1"/>
      </w:tblPr>
      <w:tblGrid>
        <w:gridCol w:w="5331"/>
        <w:gridCol w:w="2465"/>
        <w:gridCol w:w="2316"/>
      </w:tblGrid>
      <w:tr w:rsidR="0024003D" w:rsidRPr="0024003D" w14:paraId="41F513AF" w14:textId="77777777" w:rsidTr="0024003D">
        <w:trPr>
          <w:trHeight w:val="300"/>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E5BC41" w14:textId="77777777" w:rsidR="0024003D" w:rsidRPr="0024003D" w:rsidRDefault="0024003D" w:rsidP="0024003D">
            <w:pPr>
              <w:spacing w:after="0" w:line="240" w:lineRule="auto"/>
              <w:jc w:val="center"/>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1873F8E2" w14:textId="77777777" w:rsidR="0024003D" w:rsidRPr="0024003D" w:rsidRDefault="0024003D" w:rsidP="0024003D">
            <w:pPr>
              <w:spacing w:after="0" w:line="240" w:lineRule="auto"/>
              <w:jc w:val="right"/>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31/12/2023</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341FC5D4" w14:textId="77777777" w:rsidR="0024003D" w:rsidRPr="0024003D" w:rsidRDefault="0024003D" w:rsidP="0024003D">
            <w:pPr>
              <w:spacing w:after="0" w:line="240" w:lineRule="auto"/>
              <w:jc w:val="right"/>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31/12/2022</w:t>
            </w:r>
          </w:p>
        </w:tc>
      </w:tr>
      <w:tr w:rsidR="0024003D" w:rsidRPr="0024003D" w14:paraId="54680A9E" w14:textId="77777777" w:rsidTr="0024003D">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7200E6DB" w14:textId="77777777" w:rsidR="0024003D" w:rsidRPr="0024003D" w:rsidRDefault="0024003D" w:rsidP="0024003D">
            <w:pPr>
              <w:spacing w:after="0" w:line="240" w:lineRule="auto"/>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Saldo inicial</w:t>
            </w:r>
          </w:p>
        </w:tc>
        <w:tc>
          <w:tcPr>
            <w:tcW w:w="1219" w:type="pct"/>
            <w:tcBorders>
              <w:top w:val="nil"/>
              <w:left w:val="nil"/>
              <w:bottom w:val="single" w:sz="4" w:space="0" w:color="auto"/>
              <w:right w:val="single" w:sz="4" w:space="0" w:color="auto"/>
            </w:tcBorders>
            <w:shd w:val="clear" w:color="auto" w:fill="auto"/>
            <w:vAlign w:val="center"/>
            <w:hideMark/>
          </w:tcPr>
          <w:p w14:paraId="27A547EF" w14:textId="77777777" w:rsidR="0024003D" w:rsidRPr="0024003D" w:rsidRDefault="0024003D" w:rsidP="0024003D">
            <w:pPr>
              <w:spacing w:after="0" w:line="240" w:lineRule="auto"/>
              <w:jc w:val="right"/>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 xml:space="preserve">3.704.594,59 </w:t>
            </w:r>
          </w:p>
        </w:tc>
        <w:tc>
          <w:tcPr>
            <w:tcW w:w="1145" w:type="pct"/>
            <w:tcBorders>
              <w:top w:val="nil"/>
              <w:left w:val="nil"/>
              <w:bottom w:val="single" w:sz="4" w:space="0" w:color="auto"/>
              <w:right w:val="single" w:sz="4" w:space="0" w:color="auto"/>
            </w:tcBorders>
            <w:shd w:val="clear" w:color="auto" w:fill="auto"/>
            <w:vAlign w:val="center"/>
            <w:hideMark/>
          </w:tcPr>
          <w:p w14:paraId="0AC576B7" w14:textId="77777777" w:rsidR="0024003D" w:rsidRPr="0024003D" w:rsidRDefault="0024003D" w:rsidP="0024003D">
            <w:pPr>
              <w:spacing w:after="0" w:line="240" w:lineRule="auto"/>
              <w:jc w:val="right"/>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 xml:space="preserve">3.209.614,52 </w:t>
            </w:r>
          </w:p>
        </w:tc>
      </w:tr>
      <w:tr w:rsidR="0024003D" w:rsidRPr="0024003D" w14:paraId="71B66426" w14:textId="77777777" w:rsidTr="0024003D">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66C3BD2" w14:textId="77777777" w:rsidR="0024003D" w:rsidRPr="0024003D" w:rsidRDefault="0024003D" w:rsidP="0024003D">
            <w:pPr>
              <w:spacing w:after="0" w:line="240" w:lineRule="auto"/>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Valor das operações recuperadas no período</w:t>
            </w:r>
          </w:p>
        </w:tc>
        <w:tc>
          <w:tcPr>
            <w:tcW w:w="1219" w:type="pct"/>
            <w:tcBorders>
              <w:top w:val="nil"/>
              <w:left w:val="nil"/>
              <w:bottom w:val="single" w:sz="4" w:space="0" w:color="auto"/>
              <w:right w:val="single" w:sz="4" w:space="0" w:color="auto"/>
            </w:tcBorders>
            <w:shd w:val="clear" w:color="auto" w:fill="auto"/>
            <w:vAlign w:val="center"/>
            <w:hideMark/>
          </w:tcPr>
          <w:p w14:paraId="713FBAC2"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 xml:space="preserve">2.033.017,94 </w:t>
            </w:r>
          </w:p>
        </w:tc>
        <w:tc>
          <w:tcPr>
            <w:tcW w:w="1145" w:type="pct"/>
            <w:tcBorders>
              <w:top w:val="nil"/>
              <w:left w:val="nil"/>
              <w:bottom w:val="single" w:sz="4" w:space="0" w:color="auto"/>
              <w:right w:val="single" w:sz="4" w:space="0" w:color="auto"/>
            </w:tcBorders>
            <w:shd w:val="clear" w:color="auto" w:fill="auto"/>
            <w:vAlign w:val="center"/>
            <w:hideMark/>
          </w:tcPr>
          <w:p w14:paraId="34EC8BA7"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 xml:space="preserve">699.150,55 </w:t>
            </w:r>
          </w:p>
        </w:tc>
      </w:tr>
      <w:tr w:rsidR="0024003D" w:rsidRPr="0024003D" w14:paraId="52DC9E94" w14:textId="77777777" w:rsidTr="0024003D">
        <w:trPr>
          <w:trHeight w:val="45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7D2D07E0" w14:textId="77777777" w:rsidR="0024003D" w:rsidRPr="0024003D" w:rsidRDefault="0024003D" w:rsidP="0024003D">
            <w:pPr>
              <w:spacing w:after="0" w:line="240" w:lineRule="auto"/>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Valor dos descontos concedidos nas operações recuperadas</w:t>
            </w:r>
          </w:p>
        </w:tc>
        <w:tc>
          <w:tcPr>
            <w:tcW w:w="1219" w:type="pct"/>
            <w:tcBorders>
              <w:top w:val="nil"/>
              <w:left w:val="nil"/>
              <w:bottom w:val="single" w:sz="4" w:space="0" w:color="auto"/>
              <w:right w:val="single" w:sz="4" w:space="0" w:color="auto"/>
            </w:tcBorders>
            <w:shd w:val="clear" w:color="auto" w:fill="auto"/>
            <w:vAlign w:val="center"/>
            <w:hideMark/>
          </w:tcPr>
          <w:p w14:paraId="4394292A"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 xml:space="preserve">(227.774,64) </w:t>
            </w:r>
          </w:p>
        </w:tc>
        <w:tc>
          <w:tcPr>
            <w:tcW w:w="1145" w:type="pct"/>
            <w:tcBorders>
              <w:top w:val="nil"/>
              <w:left w:val="nil"/>
              <w:bottom w:val="single" w:sz="4" w:space="0" w:color="auto"/>
              <w:right w:val="single" w:sz="4" w:space="0" w:color="auto"/>
            </w:tcBorders>
            <w:shd w:val="clear" w:color="auto" w:fill="auto"/>
            <w:vAlign w:val="center"/>
            <w:hideMark/>
          </w:tcPr>
          <w:p w14:paraId="25FC15CA"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 xml:space="preserve">(167.392,78) </w:t>
            </w:r>
          </w:p>
        </w:tc>
      </w:tr>
      <w:tr w:rsidR="0024003D" w:rsidRPr="0024003D" w14:paraId="736A6FA0" w14:textId="77777777" w:rsidTr="0024003D">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74BC7671" w14:textId="77777777" w:rsidR="0024003D" w:rsidRPr="0024003D" w:rsidRDefault="0024003D" w:rsidP="0024003D">
            <w:pPr>
              <w:spacing w:after="0" w:line="240" w:lineRule="auto"/>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Valor das operações renegociadas no período</w:t>
            </w:r>
          </w:p>
        </w:tc>
        <w:tc>
          <w:tcPr>
            <w:tcW w:w="1219" w:type="pct"/>
            <w:tcBorders>
              <w:top w:val="nil"/>
              <w:left w:val="nil"/>
              <w:bottom w:val="single" w:sz="4" w:space="0" w:color="auto"/>
              <w:right w:val="single" w:sz="4" w:space="0" w:color="auto"/>
            </w:tcBorders>
            <w:shd w:val="clear" w:color="auto" w:fill="auto"/>
            <w:vAlign w:val="center"/>
            <w:hideMark/>
          </w:tcPr>
          <w:p w14:paraId="7D18D5B7"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 xml:space="preserve">(48.854,20) </w:t>
            </w:r>
          </w:p>
        </w:tc>
        <w:tc>
          <w:tcPr>
            <w:tcW w:w="1145" w:type="pct"/>
            <w:tcBorders>
              <w:top w:val="nil"/>
              <w:left w:val="nil"/>
              <w:bottom w:val="single" w:sz="4" w:space="0" w:color="auto"/>
              <w:right w:val="single" w:sz="4" w:space="0" w:color="auto"/>
            </w:tcBorders>
            <w:shd w:val="clear" w:color="auto" w:fill="auto"/>
            <w:vAlign w:val="center"/>
            <w:hideMark/>
          </w:tcPr>
          <w:p w14:paraId="3CCBD9AC"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 xml:space="preserve">(30.017,62) </w:t>
            </w:r>
          </w:p>
        </w:tc>
      </w:tr>
      <w:tr w:rsidR="0024003D" w:rsidRPr="0024003D" w14:paraId="301F6059" w14:textId="77777777" w:rsidTr="0024003D">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55494CA7" w14:textId="77777777" w:rsidR="0024003D" w:rsidRPr="0024003D" w:rsidRDefault="0024003D" w:rsidP="0024003D">
            <w:pPr>
              <w:spacing w:after="0" w:line="240" w:lineRule="auto"/>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Valor das operações transferidas no período</w:t>
            </w:r>
          </w:p>
        </w:tc>
        <w:tc>
          <w:tcPr>
            <w:tcW w:w="1219" w:type="pct"/>
            <w:tcBorders>
              <w:top w:val="nil"/>
              <w:left w:val="nil"/>
              <w:bottom w:val="single" w:sz="4" w:space="0" w:color="auto"/>
              <w:right w:val="single" w:sz="4" w:space="0" w:color="auto"/>
            </w:tcBorders>
            <w:shd w:val="clear" w:color="auto" w:fill="auto"/>
            <w:vAlign w:val="center"/>
            <w:hideMark/>
          </w:tcPr>
          <w:p w14:paraId="780E8280"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 xml:space="preserve">(27.351,70) </w:t>
            </w:r>
          </w:p>
        </w:tc>
        <w:tc>
          <w:tcPr>
            <w:tcW w:w="1145" w:type="pct"/>
            <w:tcBorders>
              <w:top w:val="nil"/>
              <w:left w:val="nil"/>
              <w:bottom w:val="single" w:sz="4" w:space="0" w:color="auto"/>
              <w:right w:val="single" w:sz="4" w:space="0" w:color="auto"/>
            </w:tcBorders>
            <w:shd w:val="clear" w:color="auto" w:fill="auto"/>
            <w:vAlign w:val="center"/>
            <w:hideMark/>
          </w:tcPr>
          <w:p w14:paraId="5FB14E8D" w14:textId="77777777" w:rsidR="0024003D" w:rsidRPr="0024003D" w:rsidRDefault="0024003D" w:rsidP="0024003D">
            <w:pPr>
              <w:spacing w:after="0" w:line="240" w:lineRule="auto"/>
              <w:jc w:val="right"/>
              <w:rPr>
                <w:rFonts w:ascii="Arial" w:eastAsia="Times New Roman" w:hAnsi="Arial" w:cs="Arial"/>
                <w:color w:val="000000"/>
                <w:kern w:val="0"/>
                <w:sz w:val="16"/>
                <w:szCs w:val="16"/>
                <w14:ligatures w14:val="none"/>
              </w:rPr>
            </w:pPr>
            <w:r w:rsidRPr="0024003D">
              <w:rPr>
                <w:rFonts w:ascii="Arial" w:eastAsia="Times New Roman" w:hAnsi="Arial" w:cs="Arial"/>
                <w:color w:val="000000"/>
                <w:kern w:val="0"/>
                <w:sz w:val="16"/>
                <w:szCs w:val="16"/>
                <w14:ligatures w14:val="none"/>
              </w:rPr>
              <w:t xml:space="preserve">(6.760,08) </w:t>
            </w:r>
          </w:p>
        </w:tc>
      </w:tr>
      <w:tr w:rsidR="0024003D" w:rsidRPr="0024003D" w14:paraId="75AE8C08" w14:textId="77777777" w:rsidTr="0024003D">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EC00A1A" w14:textId="77777777" w:rsidR="0024003D" w:rsidRPr="0024003D" w:rsidRDefault="0024003D" w:rsidP="0024003D">
            <w:pPr>
              <w:spacing w:after="0" w:line="240" w:lineRule="auto"/>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Saldo Final</w:t>
            </w:r>
          </w:p>
        </w:tc>
        <w:tc>
          <w:tcPr>
            <w:tcW w:w="1219" w:type="pct"/>
            <w:tcBorders>
              <w:top w:val="nil"/>
              <w:left w:val="nil"/>
              <w:bottom w:val="single" w:sz="4" w:space="0" w:color="auto"/>
              <w:right w:val="single" w:sz="4" w:space="0" w:color="auto"/>
            </w:tcBorders>
            <w:shd w:val="clear" w:color="auto" w:fill="auto"/>
            <w:vAlign w:val="center"/>
            <w:hideMark/>
          </w:tcPr>
          <w:p w14:paraId="68506421" w14:textId="77777777" w:rsidR="0024003D" w:rsidRPr="0024003D" w:rsidRDefault="0024003D" w:rsidP="0024003D">
            <w:pPr>
              <w:spacing w:after="0" w:line="240" w:lineRule="auto"/>
              <w:jc w:val="right"/>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 xml:space="preserve">5.433.631,99 </w:t>
            </w:r>
          </w:p>
        </w:tc>
        <w:tc>
          <w:tcPr>
            <w:tcW w:w="1145" w:type="pct"/>
            <w:tcBorders>
              <w:top w:val="nil"/>
              <w:left w:val="nil"/>
              <w:bottom w:val="single" w:sz="4" w:space="0" w:color="auto"/>
              <w:right w:val="single" w:sz="4" w:space="0" w:color="auto"/>
            </w:tcBorders>
            <w:shd w:val="clear" w:color="auto" w:fill="auto"/>
            <w:vAlign w:val="center"/>
            <w:hideMark/>
          </w:tcPr>
          <w:p w14:paraId="6F1E3A46" w14:textId="77777777" w:rsidR="0024003D" w:rsidRPr="0024003D" w:rsidRDefault="0024003D" w:rsidP="0024003D">
            <w:pPr>
              <w:spacing w:after="0" w:line="240" w:lineRule="auto"/>
              <w:jc w:val="right"/>
              <w:rPr>
                <w:rFonts w:ascii="Arial" w:eastAsia="Times New Roman" w:hAnsi="Arial" w:cs="Arial"/>
                <w:b/>
                <w:bCs/>
                <w:color w:val="000000"/>
                <w:kern w:val="0"/>
                <w:sz w:val="16"/>
                <w:szCs w:val="16"/>
                <w14:ligatures w14:val="none"/>
              </w:rPr>
            </w:pPr>
            <w:r w:rsidRPr="0024003D">
              <w:rPr>
                <w:rFonts w:ascii="Arial" w:eastAsia="Times New Roman" w:hAnsi="Arial" w:cs="Arial"/>
                <w:b/>
                <w:bCs/>
                <w:color w:val="000000"/>
                <w:kern w:val="0"/>
                <w:sz w:val="16"/>
                <w:szCs w:val="16"/>
                <w14:ligatures w14:val="none"/>
              </w:rPr>
              <w:t xml:space="preserve">3.704.594,59 </w:t>
            </w:r>
          </w:p>
        </w:tc>
      </w:tr>
    </w:tbl>
    <w:p w14:paraId="5CFBB32F" w14:textId="77777777" w:rsidR="00FE0C5A" w:rsidRDefault="000C18DB">
      <w:pPr>
        <w:pStyle w:val="NormalWeb"/>
        <w:jc w:val="both"/>
      </w:pPr>
      <w:r>
        <w:rPr>
          <w:rFonts w:ascii="Arial" w:hAnsi="Arial" w:cs="Arial"/>
          <w:sz w:val="20"/>
          <w:szCs w:val="20"/>
        </w:rPr>
        <w:t xml:space="preserve">Para fins de apuração dos valores de movimentação de saldos em prejuízo, são considerados os lançamentos decorrentes de </w:t>
      </w:r>
      <w:r>
        <w:rPr>
          <w:rFonts w:ascii="Arial" w:hAnsi="Arial" w:cs="Arial"/>
          <w:sz w:val="20"/>
          <w:szCs w:val="20"/>
        </w:rPr>
        <w:t>operações de crédito e de operações de outros créditos.</w:t>
      </w:r>
    </w:p>
    <w:p w14:paraId="3F1600D2" w14:textId="184C1857" w:rsidR="00FE0C5A" w:rsidRDefault="000C18DB">
      <w:pPr>
        <w:pStyle w:val="NormalWeb"/>
        <w:jc w:val="both"/>
      </w:pPr>
      <w:r>
        <w:rPr>
          <w:rFonts w:ascii="Arial" w:hAnsi="Arial" w:cs="Arial"/>
          <w:sz w:val="20"/>
          <w:szCs w:val="20"/>
        </w:rPr>
        <w:t xml:space="preserve">h) Operações renegociadas: </w:t>
      </w:r>
    </w:p>
    <w:p w14:paraId="4A2A3D99" w14:textId="68EC40E3" w:rsidR="00FE0C5A" w:rsidRDefault="000C18DB">
      <w:pPr>
        <w:pStyle w:val="NormalWeb"/>
        <w:jc w:val="both"/>
      </w:pPr>
      <w:r>
        <w:rPr>
          <w:rFonts w:ascii="Arial" w:hAnsi="Arial" w:cs="Arial"/>
          <w:sz w:val="20"/>
          <w:szCs w:val="20"/>
        </w:rPr>
        <w:t xml:space="preserve">Em conformidade com a Resolução no 2.682/99 (CMN), artigo 11, III, os montantes de operações renegociadas no exercício de 2023 totalizaram R$ </w:t>
      </w:r>
      <w:r w:rsidR="00E940B1" w:rsidRPr="00E940B1">
        <w:rPr>
          <w:rFonts w:ascii="Arial" w:hAnsi="Arial" w:cs="Arial"/>
          <w:sz w:val="20"/>
          <w:szCs w:val="20"/>
        </w:rPr>
        <w:t>4.562.058,19</w:t>
      </w:r>
      <w:r w:rsidR="00E940B1">
        <w:rPr>
          <w:rFonts w:ascii="Arial" w:hAnsi="Arial" w:cs="Arial"/>
          <w:sz w:val="20"/>
          <w:szCs w:val="20"/>
        </w:rPr>
        <w:t>.</w:t>
      </w:r>
    </w:p>
    <w:p w14:paraId="5189F118" w14:textId="531F8A72" w:rsidR="00FE0C5A" w:rsidRDefault="0024003D">
      <w:pPr>
        <w:pStyle w:val="NormalWeb"/>
        <w:jc w:val="both"/>
      </w:pPr>
      <w:r>
        <w:rPr>
          <w:rFonts w:ascii="Arial" w:hAnsi="Arial" w:cs="Arial"/>
          <w:b/>
          <w:bCs/>
          <w:sz w:val="20"/>
          <w:szCs w:val="20"/>
        </w:rPr>
        <w:t>8. Outros Ativos Financeiros</w:t>
      </w:r>
    </w:p>
    <w:p w14:paraId="33F30FBE" w14:textId="77777777" w:rsidR="00FE0C5A" w:rsidRDefault="000C18DB">
      <w:pPr>
        <w:pStyle w:val="NormalWeb"/>
        <w:jc w:val="both"/>
      </w:pPr>
      <w:r>
        <w:rPr>
          <w:rFonts w:ascii="Arial" w:hAnsi="Arial" w:cs="Arial"/>
          <w:sz w:val="20"/>
          <w:szCs w:val="20"/>
        </w:rPr>
        <w:t>Em 31 de dezembro de 2023 e 2022,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3316"/>
        <w:gridCol w:w="1041"/>
        <w:gridCol w:w="1254"/>
        <w:gridCol w:w="1041"/>
        <w:gridCol w:w="1041"/>
        <w:gridCol w:w="1254"/>
        <w:gridCol w:w="1041"/>
      </w:tblGrid>
      <w:tr w:rsidR="00FE0C5A" w14:paraId="079F332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AFC6B1"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661F8A"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D49D31"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4383F93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17A0430"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FF4E93"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62C88"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71527"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35868"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33C16"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4FB92"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48948E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FD73E6" w14:textId="3FA97FA5" w:rsidR="00FE0C5A" w:rsidRDefault="000C18DB" w:rsidP="00F113BD">
            <w:pPr>
              <w:spacing w:after="0"/>
              <w:rPr>
                <w:rFonts w:eastAsia="Times New Roman"/>
              </w:rPr>
            </w:pPr>
            <w:r>
              <w:rPr>
                <w:rFonts w:ascii="Arial" w:eastAsia="Times New Roman" w:hAnsi="Arial" w:cs="Arial"/>
                <w:sz w:val="16"/>
                <w:szCs w:val="16"/>
              </w:rPr>
              <w:t>Créditos por Avais e Fianças Honrados</w:t>
            </w:r>
            <w:r w:rsidR="00E940B1">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4171E" w14:textId="77777777" w:rsidR="00FE0C5A" w:rsidRDefault="000C18DB" w:rsidP="00F113BD">
            <w:pPr>
              <w:spacing w:after="0"/>
              <w:jc w:val="right"/>
              <w:rPr>
                <w:rFonts w:eastAsia="Times New Roman"/>
              </w:rPr>
            </w:pPr>
            <w:r>
              <w:rPr>
                <w:rFonts w:ascii="Arial" w:eastAsia="Times New Roman" w:hAnsi="Arial" w:cs="Arial"/>
                <w:sz w:val="16"/>
                <w:szCs w:val="16"/>
              </w:rPr>
              <w:t>732.155,79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7CE90"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C3D1B" w14:textId="77777777" w:rsidR="00FE0C5A" w:rsidRDefault="000C18DB" w:rsidP="00F113BD">
            <w:pPr>
              <w:spacing w:after="0"/>
              <w:jc w:val="right"/>
              <w:rPr>
                <w:rFonts w:eastAsia="Times New Roman"/>
              </w:rPr>
            </w:pPr>
            <w:r>
              <w:rPr>
                <w:rFonts w:ascii="Arial" w:eastAsia="Times New Roman" w:hAnsi="Arial" w:cs="Arial"/>
                <w:sz w:val="16"/>
                <w:szCs w:val="16"/>
              </w:rPr>
              <w:t>732.155,79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129FF" w14:textId="77777777" w:rsidR="00FE0C5A" w:rsidRDefault="000C18DB" w:rsidP="00F113BD">
            <w:pPr>
              <w:spacing w:after="0"/>
              <w:jc w:val="right"/>
              <w:rPr>
                <w:rFonts w:eastAsia="Times New Roman"/>
              </w:rPr>
            </w:pPr>
            <w:r>
              <w:rPr>
                <w:rFonts w:ascii="Arial" w:eastAsia="Times New Roman" w:hAnsi="Arial" w:cs="Arial"/>
                <w:sz w:val="16"/>
                <w:szCs w:val="16"/>
              </w:rPr>
              <w:t>440.601,11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4F8C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8954E" w14:textId="77777777" w:rsidR="00FE0C5A" w:rsidRDefault="000C18DB" w:rsidP="00F113BD">
            <w:pPr>
              <w:spacing w:after="0"/>
              <w:jc w:val="right"/>
              <w:rPr>
                <w:rFonts w:eastAsia="Times New Roman"/>
              </w:rPr>
            </w:pPr>
            <w:r>
              <w:rPr>
                <w:rFonts w:ascii="Arial" w:eastAsia="Times New Roman" w:hAnsi="Arial" w:cs="Arial"/>
                <w:sz w:val="16"/>
                <w:szCs w:val="16"/>
              </w:rPr>
              <w:t>440.601,11</w:t>
            </w:r>
          </w:p>
        </w:tc>
      </w:tr>
      <w:tr w:rsidR="00FE0C5A" w14:paraId="007214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391FE9" w14:textId="53EB0487" w:rsidR="00FE0C5A" w:rsidRDefault="000C18DB" w:rsidP="00F113BD">
            <w:pPr>
              <w:spacing w:after="0"/>
              <w:rPr>
                <w:rFonts w:eastAsia="Times New Roman"/>
              </w:rPr>
            </w:pPr>
            <w:r>
              <w:rPr>
                <w:rFonts w:ascii="Arial" w:eastAsia="Times New Roman" w:hAnsi="Arial" w:cs="Arial"/>
                <w:sz w:val="16"/>
                <w:szCs w:val="16"/>
              </w:rPr>
              <w:t>Rendas a Receber</w:t>
            </w:r>
            <w:r w:rsidR="00E940B1">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9D189" w14:textId="77777777" w:rsidR="00FE0C5A" w:rsidRDefault="000C18DB" w:rsidP="00F113BD">
            <w:pPr>
              <w:spacing w:after="0"/>
              <w:jc w:val="right"/>
              <w:rPr>
                <w:rFonts w:eastAsia="Times New Roman"/>
              </w:rPr>
            </w:pPr>
            <w:r>
              <w:rPr>
                <w:rFonts w:ascii="Arial" w:eastAsia="Times New Roman" w:hAnsi="Arial" w:cs="Arial"/>
                <w:sz w:val="16"/>
                <w:szCs w:val="16"/>
              </w:rPr>
              <w:t>1.802.736,37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84ED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527F5" w14:textId="77777777" w:rsidR="00FE0C5A" w:rsidRDefault="000C18DB" w:rsidP="00F113BD">
            <w:pPr>
              <w:spacing w:after="0"/>
              <w:jc w:val="right"/>
              <w:rPr>
                <w:rFonts w:eastAsia="Times New Roman"/>
              </w:rPr>
            </w:pPr>
            <w:r>
              <w:rPr>
                <w:rFonts w:ascii="Arial" w:eastAsia="Times New Roman" w:hAnsi="Arial" w:cs="Arial"/>
                <w:sz w:val="16"/>
                <w:szCs w:val="16"/>
              </w:rPr>
              <w:t>1.802.736,37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AAF08" w14:textId="77777777" w:rsidR="00FE0C5A" w:rsidRDefault="000C18DB" w:rsidP="00F113BD">
            <w:pPr>
              <w:spacing w:after="0"/>
              <w:jc w:val="right"/>
              <w:rPr>
                <w:rFonts w:eastAsia="Times New Roman"/>
              </w:rPr>
            </w:pPr>
            <w:r>
              <w:rPr>
                <w:rFonts w:ascii="Arial" w:eastAsia="Times New Roman" w:hAnsi="Arial" w:cs="Arial"/>
                <w:sz w:val="16"/>
                <w:szCs w:val="16"/>
              </w:rPr>
              <w:t>1.366.366,34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9954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FC62B" w14:textId="77777777" w:rsidR="00FE0C5A" w:rsidRDefault="000C18DB" w:rsidP="00F113BD">
            <w:pPr>
              <w:spacing w:after="0"/>
              <w:jc w:val="right"/>
              <w:rPr>
                <w:rFonts w:eastAsia="Times New Roman"/>
              </w:rPr>
            </w:pPr>
            <w:r>
              <w:rPr>
                <w:rFonts w:ascii="Arial" w:eastAsia="Times New Roman" w:hAnsi="Arial" w:cs="Arial"/>
                <w:sz w:val="16"/>
                <w:szCs w:val="16"/>
              </w:rPr>
              <w:t>1.366.366,34</w:t>
            </w:r>
          </w:p>
        </w:tc>
      </w:tr>
      <w:tr w:rsidR="00FE0C5A" w14:paraId="5F00DE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7BB5F2" w14:textId="682EF44A" w:rsidR="00FE0C5A" w:rsidRDefault="000C18DB" w:rsidP="00F113BD">
            <w:pPr>
              <w:spacing w:after="0"/>
              <w:rPr>
                <w:rFonts w:eastAsia="Times New Roman"/>
              </w:rPr>
            </w:pPr>
            <w:r>
              <w:rPr>
                <w:rFonts w:ascii="Arial" w:eastAsia="Times New Roman" w:hAnsi="Arial" w:cs="Arial"/>
                <w:sz w:val="16"/>
                <w:szCs w:val="16"/>
              </w:rPr>
              <w:t>Títulos e Créditos a Receber</w:t>
            </w:r>
            <w:r w:rsidR="00E940B1">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FCAFA" w14:textId="77777777" w:rsidR="00FE0C5A" w:rsidRDefault="000C18DB" w:rsidP="00F113BD">
            <w:pPr>
              <w:spacing w:after="0"/>
              <w:jc w:val="right"/>
              <w:rPr>
                <w:rFonts w:eastAsia="Times New Roman"/>
              </w:rPr>
            </w:pPr>
            <w:r>
              <w:rPr>
                <w:rFonts w:ascii="Arial" w:eastAsia="Times New Roman" w:hAnsi="Arial" w:cs="Arial"/>
                <w:sz w:val="16"/>
                <w:szCs w:val="16"/>
              </w:rPr>
              <w:t>89.848,96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A916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9F86D" w14:textId="77777777" w:rsidR="00FE0C5A" w:rsidRDefault="000C18DB" w:rsidP="00F113BD">
            <w:pPr>
              <w:spacing w:after="0"/>
              <w:jc w:val="right"/>
              <w:rPr>
                <w:rFonts w:eastAsia="Times New Roman"/>
              </w:rPr>
            </w:pPr>
            <w:r>
              <w:rPr>
                <w:rFonts w:ascii="Arial" w:eastAsia="Times New Roman" w:hAnsi="Arial" w:cs="Arial"/>
                <w:sz w:val="16"/>
                <w:szCs w:val="16"/>
              </w:rPr>
              <w:t>89.848,96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C260E" w14:textId="77777777" w:rsidR="00FE0C5A" w:rsidRDefault="000C18DB" w:rsidP="00F113BD">
            <w:pPr>
              <w:spacing w:after="0"/>
              <w:jc w:val="right"/>
              <w:rPr>
                <w:rFonts w:eastAsia="Times New Roman"/>
              </w:rPr>
            </w:pPr>
            <w:r>
              <w:rPr>
                <w:rFonts w:ascii="Arial" w:eastAsia="Times New Roman" w:hAnsi="Arial" w:cs="Arial"/>
                <w:sz w:val="16"/>
                <w:szCs w:val="16"/>
              </w:rPr>
              <w:t>41.570,94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CCEFA"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D0DA2" w14:textId="77777777" w:rsidR="00FE0C5A" w:rsidRDefault="000C18DB" w:rsidP="00F113BD">
            <w:pPr>
              <w:spacing w:after="0"/>
              <w:jc w:val="right"/>
              <w:rPr>
                <w:rFonts w:eastAsia="Times New Roman"/>
              </w:rPr>
            </w:pPr>
            <w:r>
              <w:rPr>
                <w:rFonts w:ascii="Arial" w:eastAsia="Times New Roman" w:hAnsi="Arial" w:cs="Arial"/>
                <w:sz w:val="16"/>
                <w:szCs w:val="16"/>
              </w:rPr>
              <w:t>41.570,94</w:t>
            </w:r>
          </w:p>
        </w:tc>
      </w:tr>
      <w:tr w:rsidR="00FE0C5A" w14:paraId="50ECC6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5B8516" w14:textId="37E1AB8B" w:rsidR="00FE0C5A" w:rsidRDefault="000C18DB" w:rsidP="00F113BD">
            <w:pPr>
              <w:spacing w:after="0"/>
              <w:rPr>
                <w:rFonts w:eastAsia="Times New Roman"/>
              </w:rPr>
            </w:pPr>
            <w:r>
              <w:rPr>
                <w:rFonts w:ascii="Arial" w:eastAsia="Times New Roman" w:hAnsi="Arial" w:cs="Arial"/>
                <w:sz w:val="16"/>
                <w:szCs w:val="16"/>
              </w:rPr>
              <w:lastRenderedPageBreak/>
              <w:t>Devedores por Depósitos em Garantia</w:t>
            </w:r>
            <w:r w:rsidR="00E940B1">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D612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5E06D" w14:textId="77777777" w:rsidR="00FE0C5A" w:rsidRDefault="000C18DB" w:rsidP="00F113BD">
            <w:pPr>
              <w:spacing w:after="0"/>
              <w:jc w:val="right"/>
              <w:rPr>
                <w:rFonts w:eastAsia="Times New Roman"/>
              </w:rPr>
            </w:pPr>
            <w:r>
              <w:rPr>
                <w:rFonts w:ascii="Arial" w:eastAsia="Times New Roman" w:hAnsi="Arial" w:cs="Arial"/>
                <w:sz w:val="16"/>
                <w:szCs w:val="16"/>
              </w:rPr>
              <w:t>2.317.121,33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F90B6" w14:textId="77777777" w:rsidR="00FE0C5A" w:rsidRDefault="000C18DB" w:rsidP="00F113BD">
            <w:pPr>
              <w:spacing w:after="0"/>
              <w:jc w:val="right"/>
              <w:rPr>
                <w:rFonts w:eastAsia="Times New Roman"/>
              </w:rPr>
            </w:pPr>
            <w:r>
              <w:rPr>
                <w:rFonts w:ascii="Arial" w:eastAsia="Times New Roman" w:hAnsi="Arial" w:cs="Arial"/>
                <w:sz w:val="16"/>
                <w:szCs w:val="16"/>
              </w:rPr>
              <w:t>2.317.121,33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F6B2A"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EE3F5" w14:textId="77777777" w:rsidR="00FE0C5A" w:rsidRDefault="000C18DB" w:rsidP="00F113BD">
            <w:pPr>
              <w:spacing w:after="0"/>
              <w:jc w:val="right"/>
              <w:rPr>
                <w:rFonts w:eastAsia="Times New Roman"/>
              </w:rPr>
            </w:pPr>
            <w:r>
              <w:rPr>
                <w:rFonts w:ascii="Arial" w:eastAsia="Times New Roman" w:hAnsi="Arial" w:cs="Arial"/>
                <w:sz w:val="16"/>
                <w:szCs w:val="16"/>
              </w:rPr>
              <w:t>2.010.152,47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BDC3B" w14:textId="77777777" w:rsidR="00FE0C5A" w:rsidRDefault="000C18DB" w:rsidP="00F113BD">
            <w:pPr>
              <w:spacing w:after="0"/>
              <w:jc w:val="right"/>
              <w:rPr>
                <w:rFonts w:eastAsia="Times New Roman"/>
              </w:rPr>
            </w:pPr>
            <w:r>
              <w:rPr>
                <w:rFonts w:ascii="Arial" w:eastAsia="Times New Roman" w:hAnsi="Arial" w:cs="Arial"/>
                <w:sz w:val="16"/>
                <w:szCs w:val="16"/>
              </w:rPr>
              <w:t>2.010.152,47</w:t>
            </w:r>
          </w:p>
        </w:tc>
      </w:tr>
      <w:tr w:rsidR="00FE0C5A" w14:paraId="4C64D6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84711A"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3CCCF" w14:textId="77777777" w:rsidR="00FE0C5A" w:rsidRDefault="000C18DB" w:rsidP="00F113BD">
            <w:pPr>
              <w:spacing w:after="0"/>
              <w:jc w:val="right"/>
              <w:rPr>
                <w:rFonts w:eastAsia="Times New Roman"/>
              </w:rPr>
            </w:pPr>
            <w:r>
              <w:rPr>
                <w:rFonts w:ascii="Arial" w:eastAsia="Times New Roman" w:hAnsi="Arial" w:cs="Arial"/>
                <w:b/>
                <w:bCs/>
                <w:sz w:val="16"/>
                <w:szCs w:val="16"/>
              </w:rPr>
              <w:t>2.624.741,12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4FD49" w14:textId="77777777" w:rsidR="00FE0C5A" w:rsidRDefault="000C18DB" w:rsidP="00F113BD">
            <w:pPr>
              <w:spacing w:after="0"/>
              <w:jc w:val="right"/>
              <w:rPr>
                <w:rFonts w:eastAsia="Times New Roman"/>
              </w:rPr>
            </w:pPr>
            <w:r>
              <w:rPr>
                <w:rFonts w:ascii="Arial" w:eastAsia="Times New Roman" w:hAnsi="Arial" w:cs="Arial"/>
                <w:b/>
                <w:bCs/>
                <w:sz w:val="16"/>
                <w:szCs w:val="16"/>
              </w:rPr>
              <w:t>2.317.121,33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5BC6C" w14:textId="77777777" w:rsidR="00FE0C5A" w:rsidRDefault="000C18DB" w:rsidP="00F113BD">
            <w:pPr>
              <w:spacing w:after="0"/>
              <w:jc w:val="right"/>
              <w:rPr>
                <w:rFonts w:eastAsia="Times New Roman"/>
              </w:rPr>
            </w:pPr>
            <w:r>
              <w:rPr>
                <w:rFonts w:ascii="Arial" w:eastAsia="Times New Roman" w:hAnsi="Arial" w:cs="Arial"/>
                <w:b/>
                <w:bCs/>
                <w:sz w:val="16"/>
                <w:szCs w:val="16"/>
              </w:rPr>
              <w:t>4.941.862,45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A7271" w14:textId="77777777" w:rsidR="00FE0C5A" w:rsidRDefault="000C18DB" w:rsidP="00F113BD">
            <w:pPr>
              <w:spacing w:after="0"/>
              <w:jc w:val="right"/>
              <w:rPr>
                <w:rFonts w:eastAsia="Times New Roman"/>
              </w:rPr>
            </w:pPr>
            <w:r>
              <w:rPr>
                <w:rFonts w:ascii="Arial" w:eastAsia="Times New Roman" w:hAnsi="Arial" w:cs="Arial"/>
                <w:b/>
                <w:bCs/>
                <w:sz w:val="16"/>
                <w:szCs w:val="16"/>
              </w:rPr>
              <w:t>1.848.538,39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558F4" w14:textId="77777777" w:rsidR="00FE0C5A" w:rsidRDefault="000C18DB" w:rsidP="00F113BD">
            <w:pPr>
              <w:spacing w:after="0"/>
              <w:jc w:val="right"/>
              <w:rPr>
                <w:rFonts w:eastAsia="Times New Roman"/>
              </w:rPr>
            </w:pPr>
            <w:r>
              <w:rPr>
                <w:rFonts w:ascii="Arial" w:eastAsia="Times New Roman" w:hAnsi="Arial" w:cs="Arial"/>
                <w:b/>
                <w:bCs/>
                <w:sz w:val="16"/>
                <w:szCs w:val="16"/>
              </w:rPr>
              <w:t>2.010.152,47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264E0" w14:textId="77777777" w:rsidR="00FE0C5A" w:rsidRDefault="000C18DB" w:rsidP="00F113BD">
            <w:pPr>
              <w:spacing w:after="0"/>
              <w:jc w:val="right"/>
              <w:rPr>
                <w:rFonts w:eastAsia="Times New Roman"/>
              </w:rPr>
            </w:pPr>
            <w:r>
              <w:rPr>
                <w:rFonts w:ascii="Arial" w:eastAsia="Times New Roman" w:hAnsi="Arial" w:cs="Arial"/>
                <w:b/>
                <w:bCs/>
                <w:sz w:val="16"/>
                <w:szCs w:val="16"/>
              </w:rPr>
              <w:t>3.858.690,86</w:t>
            </w:r>
          </w:p>
        </w:tc>
      </w:tr>
    </w:tbl>
    <w:p w14:paraId="2D94467E" w14:textId="77777777" w:rsidR="00FE0C5A" w:rsidRDefault="000C18DB">
      <w:pPr>
        <w:pStyle w:val="NormalWeb"/>
        <w:jc w:val="both"/>
      </w:pPr>
      <w:r>
        <w:rPr>
          <w:rFonts w:ascii="Arial" w:hAnsi="Arial" w:cs="Arial"/>
          <w:sz w:val="20"/>
          <w:szCs w:val="20"/>
        </w:rPr>
        <w:t xml:space="preserve">(a) O saldo de Avais e Fianças Honrados é composto, substancialmente, por operações oriundas de cartões de crédito vencidas de associados da Cooperativa cedidos pelo Banco Sicoob, em virtude de coobrigação </w:t>
      </w:r>
      <w:r>
        <w:rPr>
          <w:rFonts w:ascii="Arial" w:hAnsi="Arial" w:cs="Arial"/>
          <w:sz w:val="20"/>
          <w:szCs w:val="20"/>
        </w:rPr>
        <w:t>contratual;</w:t>
      </w:r>
    </w:p>
    <w:p w14:paraId="2C611DED" w14:textId="77777777" w:rsidR="00FE0C5A" w:rsidRDefault="000C18DB">
      <w:pPr>
        <w:pStyle w:val="NormalWeb"/>
        <w:jc w:val="both"/>
      </w:pPr>
      <w:r>
        <w:rPr>
          <w:rFonts w:ascii="Arial" w:hAnsi="Arial" w:cs="Arial"/>
          <w:sz w:val="20"/>
          <w:szCs w:val="20"/>
        </w:rPr>
        <w:t>(b) Em Rendas a Receber estão registrados:</w:t>
      </w:r>
    </w:p>
    <w:tbl>
      <w:tblPr>
        <w:tblW w:w="5000" w:type="pct"/>
        <w:tblCellMar>
          <w:left w:w="0" w:type="dxa"/>
          <w:right w:w="0" w:type="dxa"/>
        </w:tblCellMar>
        <w:tblLook w:val="04A0" w:firstRow="1" w:lastRow="0" w:firstColumn="1" w:lastColumn="0" w:noHBand="0" w:noVBand="1"/>
      </w:tblPr>
      <w:tblGrid>
        <w:gridCol w:w="4074"/>
        <w:gridCol w:w="950"/>
        <w:gridCol w:w="1057"/>
        <w:gridCol w:w="950"/>
        <w:gridCol w:w="950"/>
        <w:gridCol w:w="1057"/>
        <w:gridCol w:w="950"/>
      </w:tblGrid>
      <w:tr w:rsidR="00FE0C5A" w14:paraId="2382355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C5D1E2"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119B33"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7BD409"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420255A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54401F2"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0B907C"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2AA48"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B5FB3"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3442D"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B266C"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DE049"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64CE96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9D526A" w14:textId="77777777" w:rsidR="00FE0C5A" w:rsidRDefault="000C18DB" w:rsidP="00F113BD">
            <w:pPr>
              <w:spacing w:after="0"/>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FAFC9" w14:textId="77777777" w:rsidR="00FE0C5A" w:rsidRDefault="000C18DB" w:rsidP="00F113BD">
            <w:pPr>
              <w:spacing w:after="0"/>
              <w:jc w:val="right"/>
              <w:rPr>
                <w:rFonts w:eastAsia="Times New Roman"/>
              </w:rPr>
            </w:pPr>
            <w:r>
              <w:rPr>
                <w:rFonts w:ascii="Arial" w:eastAsia="Times New Roman" w:hAnsi="Arial" w:cs="Arial"/>
                <w:sz w:val="16"/>
                <w:szCs w:val="16"/>
              </w:rPr>
              <w:t>14.289,11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76E7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67B49" w14:textId="77777777" w:rsidR="00FE0C5A" w:rsidRDefault="000C18DB" w:rsidP="00F113BD">
            <w:pPr>
              <w:spacing w:after="0"/>
              <w:jc w:val="right"/>
              <w:rPr>
                <w:rFonts w:eastAsia="Times New Roman"/>
              </w:rPr>
            </w:pPr>
            <w:r>
              <w:rPr>
                <w:rFonts w:ascii="Arial" w:eastAsia="Times New Roman" w:hAnsi="Arial" w:cs="Arial"/>
                <w:sz w:val="16"/>
                <w:szCs w:val="16"/>
              </w:rPr>
              <w:t>14.289,11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4A39E" w14:textId="77777777" w:rsidR="00FE0C5A" w:rsidRDefault="000C18DB" w:rsidP="00F113BD">
            <w:pPr>
              <w:spacing w:after="0"/>
              <w:jc w:val="right"/>
              <w:rPr>
                <w:rFonts w:eastAsia="Times New Roman"/>
              </w:rPr>
            </w:pPr>
            <w:r>
              <w:rPr>
                <w:rFonts w:ascii="Arial" w:eastAsia="Times New Roman" w:hAnsi="Arial" w:cs="Arial"/>
                <w:sz w:val="16"/>
                <w:szCs w:val="16"/>
              </w:rPr>
              <w:t>19.174,97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5C73A"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8EC51" w14:textId="77777777" w:rsidR="00FE0C5A" w:rsidRDefault="000C18DB" w:rsidP="00F113BD">
            <w:pPr>
              <w:spacing w:after="0"/>
              <w:jc w:val="right"/>
              <w:rPr>
                <w:rFonts w:eastAsia="Times New Roman"/>
              </w:rPr>
            </w:pPr>
            <w:r>
              <w:rPr>
                <w:rFonts w:ascii="Arial" w:eastAsia="Times New Roman" w:hAnsi="Arial" w:cs="Arial"/>
                <w:sz w:val="16"/>
                <w:szCs w:val="16"/>
              </w:rPr>
              <w:t>19.174,97</w:t>
            </w:r>
          </w:p>
        </w:tc>
      </w:tr>
      <w:tr w:rsidR="00FE0C5A" w14:paraId="6D5BF1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76331F" w14:textId="77777777" w:rsidR="00FE0C5A" w:rsidRDefault="000C18DB" w:rsidP="00F113BD">
            <w:pPr>
              <w:spacing w:after="0"/>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41DC8" w14:textId="77777777" w:rsidR="00FE0C5A" w:rsidRDefault="000C18DB" w:rsidP="00F113BD">
            <w:pPr>
              <w:spacing w:after="0"/>
              <w:jc w:val="right"/>
              <w:rPr>
                <w:rFonts w:eastAsia="Times New Roman"/>
              </w:rPr>
            </w:pPr>
            <w:r>
              <w:rPr>
                <w:rFonts w:ascii="Arial" w:eastAsia="Times New Roman" w:hAnsi="Arial" w:cs="Arial"/>
                <w:sz w:val="16"/>
                <w:szCs w:val="16"/>
              </w:rPr>
              <w:t>338.093,65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73C40"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F3EBD" w14:textId="77777777" w:rsidR="00FE0C5A" w:rsidRDefault="000C18DB" w:rsidP="00F113BD">
            <w:pPr>
              <w:spacing w:after="0"/>
              <w:jc w:val="right"/>
              <w:rPr>
                <w:rFonts w:eastAsia="Times New Roman"/>
              </w:rPr>
            </w:pPr>
            <w:r>
              <w:rPr>
                <w:rFonts w:ascii="Arial" w:eastAsia="Times New Roman" w:hAnsi="Arial" w:cs="Arial"/>
                <w:sz w:val="16"/>
                <w:szCs w:val="16"/>
              </w:rPr>
              <w:t>338.093,65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6AA30" w14:textId="77777777" w:rsidR="00FE0C5A" w:rsidRDefault="000C18DB" w:rsidP="00F113BD">
            <w:pPr>
              <w:spacing w:after="0"/>
              <w:jc w:val="right"/>
              <w:rPr>
                <w:rFonts w:eastAsia="Times New Roman"/>
              </w:rPr>
            </w:pPr>
            <w:r>
              <w:rPr>
                <w:rFonts w:ascii="Arial" w:eastAsia="Times New Roman" w:hAnsi="Arial" w:cs="Arial"/>
                <w:sz w:val="16"/>
                <w:szCs w:val="16"/>
              </w:rPr>
              <w:t>161.924,47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B9887"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74982" w14:textId="77777777" w:rsidR="00FE0C5A" w:rsidRDefault="000C18DB" w:rsidP="00F113BD">
            <w:pPr>
              <w:spacing w:after="0"/>
              <w:jc w:val="right"/>
              <w:rPr>
                <w:rFonts w:eastAsia="Times New Roman"/>
              </w:rPr>
            </w:pPr>
            <w:r>
              <w:rPr>
                <w:rFonts w:ascii="Arial" w:eastAsia="Times New Roman" w:hAnsi="Arial" w:cs="Arial"/>
                <w:sz w:val="16"/>
                <w:szCs w:val="16"/>
              </w:rPr>
              <w:t>161.924,47</w:t>
            </w:r>
          </w:p>
        </w:tc>
      </w:tr>
      <w:tr w:rsidR="00FE0C5A" w14:paraId="0432CD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02750" w14:textId="77777777" w:rsidR="00FE0C5A" w:rsidRDefault="000C18DB" w:rsidP="00F113BD">
            <w:pPr>
              <w:spacing w:after="0"/>
              <w:rPr>
                <w:rFonts w:eastAsia="Times New Roman"/>
              </w:rPr>
            </w:pPr>
            <w:r>
              <w:rPr>
                <w:rFonts w:ascii="Arial" w:eastAsia="Times New Roman"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112D6" w14:textId="77777777" w:rsidR="00FE0C5A" w:rsidRDefault="000C18DB" w:rsidP="00F113BD">
            <w:pPr>
              <w:spacing w:after="0"/>
              <w:jc w:val="right"/>
              <w:rPr>
                <w:rFonts w:eastAsia="Times New Roman"/>
              </w:rPr>
            </w:pPr>
            <w:r>
              <w:rPr>
                <w:rFonts w:ascii="Arial" w:eastAsia="Times New Roman" w:hAnsi="Arial" w:cs="Arial"/>
                <w:sz w:val="16"/>
                <w:szCs w:val="16"/>
              </w:rPr>
              <w:t>1.290.402,85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C6F70"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BF168" w14:textId="77777777" w:rsidR="00FE0C5A" w:rsidRDefault="000C18DB" w:rsidP="00F113BD">
            <w:pPr>
              <w:spacing w:after="0"/>
              <w:jc w:val="right"/>
              <w:rPr>
                <w:rFonts w:eastAsia="Times New Roman"/>
              </w:rPr>
            </w:pPr>
            <w:r>
              <w:rPr>
                <w:rFonts w:ascii="Arial" w:eastAsia="Times New Roman" w:hAnsi="Arial" w:cs="Arial"/>
                <w:sz w:val="16"/>
                <w:szCs w:val="16"/>
              </w:rPr>
              <w:t>1.290.402,85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8F4D4" w14:textId="77777777" w:rsidR="00FE0C5A" w:rsidRDefault="000C18DB" w:rsidP="00F113BD">
            <w:pPr>
              <w:spacing w:after="0"/>
              <w:jc w:val="right"/>
              <w:rPr>
                <w:rFonts w:eastAsia="Times New Roman"/>
              </w:rPr>
            </w:pPr>
            <w:r>
              <w:rPr>
                <w:rFonts w:ascii="Arial" w:eastAsia="Times New Roman" w:hAnsi="Arial" w:cs="Arial"/>
                <w:sz w:val="16"/>
                <w:szCs w:val="16"/>
              </w:rPr>
              <w:t>1.143.962,44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53EE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A4416" w14:textId="77777777" w:rsidR="00FE0C5A" w:rsidRDefault="000C18DB" w:rsidP="00F113BD">
            <w:pPr>
              <w:spacing w:after="0"/>
              <w:jc w:val="right"/>
              <w:rPr>
                <w:rFonts w:eastAsia="Times New Roman"/>
              </w:rPr>
            </w:pPr>
            <w:r>
              <w:rPr>
                <w:rFonts w:ascii="Arial" w:eastAsia="Times New Roman" w:hAnsi="Arial" w:cs="Arial"/>
                <w:sz w:val="16"/>
                <w:szCs w:val="16"/>
              </w:rPr>
              <w:t>1.143.962,44</w:t>
            </w:r>
          </w:p>
        </w:tc>
      </w:tr>
      <w:tr w:rsidR="00FE0C5A" w14:paraId="7CB82A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070722" w14:textId="77777777" w:rsidR="00FE0C5A" w:rsidRDefault="000C18DB" w:rsidP="00F113BD">
            <w:pPr>
              <w:spacing w:after="0"/>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969F0" w14:textId="77777777" w:rsidR="00FE0C5A" w:rsidRDefault="000C18DB" w:rsidP="00F113BD">
            <w:pPr>
              <w:spacing w:after="0"/>
              <w:jc w:val="right"/>
              <w:rPr>
                <w:rFonts w:eastAsia="Times New Roman"/>
              </w:rPr>
            </w:pPr>
            <w:r>
              <w:rPr>
                <w:rFonts w:ascii="Arial" w:eastAsia="Times New Roman" w:hAnsi="Arial" w:cs="Arial"/>
                <w:sz w:val="16"/>
                <w:szCs w:val="16"/>
              </w:rPr>
              <w:t>121.961,71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1D3B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3B772" w14:textId="77777777" w:rsidR="00FE0C5A" w:rsidRDefault="000C18DB" w:rsidP="00F113BD">
            <w:pPr>
              <w:spacing w:after="0"/>
              <w:jc w:val="right"/>
              <w:rPr>
                <w:rFonts w:eastAsia="Times New Roman"/>
              </w:rPr>
            </w:pPr>
            <w:r>
              <w:rPr>
                <w:rFonts w:ascii="Arial" w:eastAsia="Times New Roman" w:hAnsi="Arial" w:cs="Arial"/>
                <w:sz w:val="16"/>
                <w:szCs w:val="16"/>
              </w:rPr>
              <w:t>121.961,71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1717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A04D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9AC6A"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052504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3FD80F" w14:textId="77777777" w:rsidR="00FE0C5A" w:rsidRDefault="000C18DB" w:rsidP="00F113BD">
            <w:pPr>
              <w:spacing w:after="0"/>
              <w:rPr>
                <w:rFonts w:eastAsia="Times New Roman"/>
              </w:rPr>
            </w:pPr>
            <w:r>
              <w:rPr>
                <w:rFonts w:ascii="Arial" w:eastAsia="Times New Roman" w:hAnsi="Arial" w:cs="Arial"/>
                <w:sz w:val="16"/>
                <w:szCs w:val="16"/>
              </w:rPr>
              <w:t xml:space="preserve">Rendas de </w:t>
            </w:r>
            <w:r>
              <w:rPr>
                <w:rFonts w:ascii="Arial" w:eastAsia="Times New Roman" w:hAnsi="Arial" w:cs="Arial"/>
                <w:sz w:val="16"/>
                <w:szCs w:val="16"/>
              </w:rPr>
              <w:t>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09016" w14:textId="77777777" w:rsidR="00FE0C5A" w:rsidRDefault="000C18DB" w:rsidP="00F113BD">
            <w:pPr>
              <w:spacing w:after="0"/>
              <w:jc w:val="right"/>
              <w:rPr>
                <w:rFonts w:eastAsia="Times New Roman"/>
              </w:rPr>
            </w:pPr>
            <w:r>
              <w:rPr>
                <w:rFonts w:ascii="Arial" w:eastAsia="Times New Roman" w:hAnsi="Arial" w:cs="Arial"/>
                <w:sz w:val="16"/>
                <w:szCs w:val="16"/>
              </w:rPr>
              <w:t>26.122,73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4979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9A3E0" w14:textId="77777777" w:rsidR="00FE0C5A" w:rsidRDefault="000C18DB" w:rsidP="00F113BD">
            <w:pPr>
              <w:spacing w:after="0"/>
              <w:jc w:val="right"/>
              <w:rPr>
                <w:rFonts w:eastAsia="Times New Roman"/>
              </w:rPr>
            </w:pPr>
            <w:r>
              <w:rPr>
                <w:rFonts w:ascii="Arial" w:eastAsia="Times New Roman" w:hAnsi="Arial" w:cs="Arial"/>
                <w:sz w:val="16"/>
                <w:szCs w:val="16"/>
              </w:rPr>
              <w:t>26.122,73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09E8A" w14:textId="77777777" w:rsidR="00FE0C5A" w:rsidRDefault="000C18DB" w:rsidP="00F113BD">
            <w:pPr>
              <w:spacing w:after="0"/>
              <w:jc w:val="right"/>
              <w:rPr>
                <w:rFonts w:eastAsia="Times New Roman"/>
              </w:rPr>
            </w:pPr>
            <w:r>
              <w:rPr>
                <w:rFonts w:ascii="Arial" w:eastAsia="Times New Roman" w:hAnsi="Arial" w:cs="Arial"/>
                <w:sz w:val="16"/>
                <w:szCs w:val="16"/>
              </w:rPr>
              <w:t>25.452,53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F0FF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5406A" w14:textId="77777777" w:rsidR="00FE0C5A" w:rsidRDefault="000C18DB" w:rsidP="00F113BD">
            <w:pPr>
              <w:spacing w:after="0"/>
              <w:jc w:val="right"/>
              <w:rPr>
                <w:rFonts w:eastAsia="Times New Roman"/>
              </w:rPr>
            </w:pPr>
            <w:r>
              <w:rPr>
                <w:rFonts w:ascii="Arial" w:eastAsia="Times New Roman" w:hAnsi="Arial" w:cs="Arial"/>
                <w:sz w:val="16"/>
                <w:szCs w:val="16"/>
              </w:rPr>
              <w:t>25.452,53</w:t>
            </w:r>
          </w:p>
        </w:tc>
      </w:tr>
      <w:tr w:rsidR="00FE0C5A" w14:paraId="5C219B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33A584" w14:textId="77777777" w:rsidR="00FE0C5A" w:rsidRDefault="000C18DB" w:rsidP="00F113BD">
            <w:pPr>
              <w:spacing w:after="0"/>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1B781" w14:textId="77777777" w:rsidR="00FE0C5A" w:rsidRDefault="000C18DB" w:rsidP="00F113BD">
            <w:pPr>
              <w:spacing w:after="0"/>
              <w:jc w:val="right"/>
              <w:rPr>
                <w:rFonts w:eastAsia="Times New Roman"/>
              </w:rPr>
            </w:pPr>
            <w:r>
              <w:rPr>
                <w:rFonts w:ascii="Arial" w:eastAsia="Times New Roman" w:hAnsi="Arial" w:cs="Arial"/>
                <w:sz w:val="16"/>
                <w:szCs w:val="16"/>
              </w:rPr>
              <w:t>11.866,32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9C81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F3BA2" w14:textId="77777777" w:rsidR="00FE0C5A" w:rsidRDefault="000C18DB" w:rsidP="00F113BD">
            <w:pPr>
              <w:spacing w:after="0"/>
              <w:jc w:val="right"/>
              <w:rPr>
                <w:rFonts w:eastAsia="Times New Roman"/>
              </w:rPr>
            </w:pPr>
            <w:r>
              <w:rPr>
                <w:rFonts w:ascii="Arial" w:eastAsia="Times New Roman" w:hAnsi="Arial" w:cs="Arial"/>
                <w:sz w:val="16"/>
                <w:szCs w:val="16"/>
              </w:rPr>
              <w:t>11.866,32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F7EC3" w14:textId="77777777" w:rsidR="00FE0C5A" w:rsidRDefault="000C18DB" w:rsidP="00F113BD">
            <w:pPr>
              <w:spacing w:after="0"/>
              <w:jc w:val="right"/>
              <w:rPr>
                <w:rFonts w:eastAsia="Times New Roman"/>
              </w:rPr>
            </w:pPr>
            <w:r>
              <w:rPr>
                <w:rFonts w:ascii="Arial" w:eastAsia="Times New Roman" w:hAnsi="Arial" w:cs="Arial"/>
                <w:sz w:val="16"/>
                <w:szCs w:val="16"/>
              </w:rPr>
              <w:t>15.851,93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EA83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7908E" w14:textId="77777777" w:rsidR="00FE0C5A" w:rsidRDefault="000C18DB" w:rsidP="00F113BD">
            <w:pPr>
              <w:spacing w:after="0"/>
              <w:jc w:val="right"/>
              <w:rPr>
                <w:rFonts w:eastAsia="Times New Roman"/>
              </w:rPr>
            </w:pPr>
            <w:r>
              <w:rPr>
                <w:rFonts w:ascii="Arial" w:eastAsia="Times New Roman" w:hAnsi="Arial" w:cs="Arial"/>
                <w:sz w:val="16"/>
                <w:szCs w:val="16"/>
              </w:rPr>
              <w:t>15.851,93</w:t>
            </w:r>
          </w:p>
        </w:tc>
      </w:tr>
      <w:tr w:rsidR="00FE0C5A" w14:paraId="34E07A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4CD02C"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AE220" w14:textId="77777777" w:rsidR="00FE0C5A" w:rsidRDefault="000C18DB" w:rsidP="00F113BD">
            <w:pPr>
              <w:spacing w:after="0"/>
              <w:jc w:val="right"/>
              <w:rPr>
                <w:rFonts w:eastAsia="Times New Roman"/>
              </w:rPr>
            </w:pPr>
            <w:r>
              <w:rPr>
                <w:rFonts w:ascii="Arial" w:eastAsia="Times New Roman" w:hAnsi="Arial" w:cs="Arial"/>
                <w:b/>
                <w:bCs/>
                <w:sz w:val="16"/>
                <w:szCs w:val="16"/>
              </w:rPr>
              <w:t>1.802.736,37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1E408"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5CADF" w14:textId="77777777" w:rsidR="00FE0C5A" w:rsidRDefault="000C18DB" w:rsidP="00F113BD">
            <w:pPr>
              <w:spacing w:after="0"/>
              <w:jc w:val="right"/>
              <w:rPr>
                <w:rFonts w:eastAsia="Times New Roman"/>
              </w:rPr>
            </w:pPr>
            <w:r>
              <w:rPr>
                <w:rFonts w:ascii="Arial" w:eastAsia="Times New Roman" w:hAnsi="Arial" w:cs="Arial"/>
                <w:b/>
                <w:bCs/>
                <w:sz w:val="16"/>
                <w:szCs w:val="16"/>
              </w:rPr>
              <w:t>1.802.736,37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476D4" w14:textId="77777777" w:rsidR="00FE0C5A" w:rsidRDefault="000C18DB" w:rsidP="00F113BD">
            <w:pPr>
              <w:spacing w:after="0"/>
              <w:jc w:val="right"/>
              <w:rPr>
                <w:rFonts w:eastAsia="Times New Roman"/>
              </w:rPr>
            </w:pPr>
            <w:r>
              <w:rPr>
                <w:rFonts w:ascii="Arial" w:eastAsia="Times New Roman" w:hAnsi="Arial" w:cs="Arial"/>
                <w:b/>
                <w:bCs/>
                <w:sz w:val="16"/>
                <w:szCs w:val="16"/>
              </w:rPr>
              <w:t>1.366.366,34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F4944"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A9846" w14:textId="77777777" w:rsidR="00FE0C5A" w:rsidRDefault="000C18DB" w:rsidP="00F113BD">
            <w:pPr>
              <w:spacing w:after="0"/>
              <w:jc w:val="right"/>
              <w:rPr>
                <w:rFonts w:eastAsia="Times New Roman"/>
              </w:rPr>
            </w:pPr>
            <w:r>
              <w:rPr>
                <w:rFonts w:ascii="Arial" w:eastAsia="Times New Roman" w:hAnsi="Arial" w:cs="Arial"/>
                <w:b/>
                <w:bCs/>
                <w:sz w:val="16"/>
                <w:szCs w:val="16"/>
              </w:rPr>
              <w:t>1.366.366,34</w:t>
            </w:r>
          </w:p>
        </w:tc>
      </w:tr>
    </w:tbl>
    <w:p w14:paraId="798EEBFD" w14:textId="77777777" w:rsidR="00FE0C5A" w:rsidRDefault="000C18DB">
      <w:pPr>
        <w:pStyle w:val="NormalWeb"/>
        <w:jc w:val="both"/>
      </w:pPr>
      <w:r>
        <w:rPr>
          <w:rFonts w:ascii="Arial" w:hAnsi="Arial" w:cs="Arial"/>
          <w:sz w:val="20"/>
          <w:szCs w:val="20"/>
        </w:rPr>
        <w:t xml:space="preserve">(c) Em Devedores por Compra de Valores e Bens </w:t>
      </w:r>
      <w:r>
        <w:rPr>
          <w:rFonts w:ascii="Arial" w:hAnsi="Arial" w:cs="Arial"/>
          <w:sz w:val="20"/>
          <w:szCs w:val="20"/>
        </w:rPr>
        <w:t>estão registrados os saldos a receber de terceiros pela venda a prazo de bens próprios da Cooperativa ou Ativos não Financeiros Mantidos para Venda – Recebidos;</w:t>
      </w:r>
    </w:p>
    <w:p w14:paraId="7B004690" w14:textId="6C4AE653" w:rsidR="00FE0C5A" w:rsidRDefault="000C18DB">
      <w:pPr>
        <w:pStyle w:val="NormalWeb"/>
        <w:jc w:val="both"/>
      </w:pPr>
      <w:r>
        <w:rPr>
          <w:rFonts w:ascii="Arial" w:hAnsi="Arial" w:cs="Arial"/>
          <w:sz w:val="20"/>
          <w:szCs w:val="20"/>
        </w:rPr>
        <w:t>(d) Em Títulos e Créditos a Receber estão registrados: Valores a Receber de Tarifas (R$ 61.213,95</w:t>
      </w:r>
      <w:r w:rsidR="00E940B1">
        <w:rPr>
          <w:rFonts w:ascii="Arial" w:hAnsi="Arial" w:cs="Arial"/>
          <w:sz w:val="20"/>
          <w:szCs w:val="20"/>
        </w:rPr>
        <w:t>)</w:t>
      </w:r>
      <w:r>
        <w:rPr>
          <w:rFonts w:ascii="Arial" w:hAnsi="Arial" w:cs="Arial"/>
          <w:sz w:val="20"/>
          <w:szCs w:val="20"/>
        </w:rPr>
        <w:t xml:space="preserve"> e Aluguel SIPAG 2.0 (R$ </w:t>
      </w:r>
      <w:r w:rsidR="00E940B1" w:rsidRPr="00E940B1">
        <w:rPr>
          <w:rFonts w:ascii="Arial" w:hAnsi="Arial" w:cs="Arial"/>
          <w:sz w:val="20"/>
          <w:szCs w:val="20"/>
        </w:rPr>
        <w:t>28.635,01</w:t>
      </w:r>
      <w:r>
        <w:rPr>
          <w:rFonts w:ascii="Arial" w:hAnsi="Arial" w:cs="Arial"/>
          <w:sz w:val="20"/>
          <w:szCs w:val="20"/>
        </w:rPr>
        <w:t>);</w:t>
      </w:r>
    </w:p>
    <w:p w14:paraId="549FF3AE" w14:textId="77777777" w:rsidR="00FE0C5A" w:rsidRDefault="000C18DB">
      <w:pPr>
        <w:pStyle w:val="NormalWeb"/>
        <w:jc w:val="both"/>
      </w:pPr>
      <w:r>
        <w:rPr>
          <w:rFonts w:ascii="Arial" w:hAnsi="Arial" w:cs="Arial"/>
          <w:sz w:val="20"/>
          <w:szCs w:val="20"/>
        </w:rPr>
        <w:t>(e) 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1186"/>
        <w:gridCol w:w="1214"/>
        <w:gridCol w:w="1742"/>
        <w:gridCol w:w="1445"/>
        <w:gridCol w:w="1214"/>
        <w:gridCol w:w="1742"/>
        <w:gridCol w:w="1445"/>
      </w:tblGrid>
      <w:tr w:rsidR="00FE0C5A" w14:paraId="6D5F359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542D4F"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35AF409"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50C9EC"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57E26CB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8985119"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6C2B8A"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EFF8E"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EF427"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968E4"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9BBCF"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6CAE5"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55E553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725552" w14:textId="77777777" w:rsidR="00FE0C5A" w:rsidRDefault="000C18DB" w:rsidP="00F113BD">
            <w:pPr>
              <w:spacing w:after="0"/>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FE947"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5355E" w14:textId="77777777" w:rsidR="00FE0C5A" w:rsidRDefault="000C18DB" w:rsidP="00F113BD">
            <w:pPr>
              <w:spacing w:after="0"/>
              <w:jc w:val="right"/>
              <w:rPr>
                <w:rFonts w:eastAsia="Times New Roman"/>
              </w:rPr>
            </w:pPr>
            <w:r>
              <w:rPr>
                <w:rFonts w:ascii="Arial" w:eastAsia="Times New Roman" w:hAnsi="Arial" w:cs="Arial"/>
                <w:sz w:val="16"/>
                <w:szCs w:val="16"/>
              </w:rPr>
              <w:t>349.366,73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D1231" w14:textId="77777777" w:rsidR="00FE0C5A" w:rsidRDefault="000C18DB" w:rsidP="00F113BD">
            <w:pPr>
              <w:spacing w:after="0"/>
              <w:jc w:val="right"/>
              <w:rPr>
                <w:rFonts w:eastAsia="Times New Roman"/>
              </w:rPr>
            </w:pPr>
            <w:r>
              <w:rPr>
                <w:rFonts w:ascii="Arial" w:eastAsia="Times New Roman" w:hAnsi="Arial" w:cs="Arial"/>
                <w:sz w:val="16"/>
                <w:szCs w:val="16"/>
              </w:rPr>
              <w:t>349.366,73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FC0B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1CB75" w14:textId="77777777" w:rsidR="00FE0C5A" w:rsidRDefault="000C18DB" w:rsidP="00F113BD">
            <w:pPr>
              <w:spacing w:after="0"/>
              <w:jc w:val="right"/>
              <w:rPr>
                <w:rFonts w:eastAsia="Times New Roman"/>
              </w:rPr>
            </w:pPr>
            <w:r>
              <w:rPr>
                <w:rFonts w:ascii="Arial" w:eastAsia="Times New Roman" w:hAnsi="Arial" w:cs="Arial"/>
                <w:sz w:val="16"/>
                <w:szCs w:val="16"/>
              </w:rPr>
              <w:t>309.066,24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71534" w14:textId="77777777" w:rsidR="00FE0C5A" w:rsidRDefault="000C18DB" w:rsidP="00F113BD">
            <w:pPr>
              <w:spacing w:after="0"/>
              <w:jc w:val="right"/>
              <w:rPr>
                <w:rFonts w:eastAsia="Times New Roman"/>
              </w:rPr>
            </w:pPr>
            <w:r>
              <w:rPr>
                <w:rFonts w:ascii="Arial" w:eastAsia="Times New Roman" w:hAnsi="Arial" w:cs="Arial"/>
                <w:sz w:val="16"/>
                <w:szCs w:val="16"/>
              </w:rPr>
              <w:t>309.066,24</w:t>
            </w:r>
          </w:p>
        </w:tc>
      </w:tr>
      <w:tr w:rsidR="00FE0C5A" w14:paraId="643C37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C4B0AE" w14:textId="77777777" w:rsidR="00FE0C5A" w:rsidRDefault="000C18DB" w:rsidP="00F113BD">
            <w:pPr>
              <w:spacing w:after="0"/>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AE17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8A5C4" w14:textId="77777777" w:rsidR="00FE0C5A" w:rsidRDefault="000C18DB" w:rsidP="00F113BD">
            <w:pPr>
              <w:spacing w:after="0"/>
              <w:jc w:val="right"/>
              <w:rPr>
                <w:rFonts w:eastAsia="Times New Roman"/>
              </w:rPr>
            </w:pPr>
            <w:r>
              <w:rPr>
                <w:rFonts w:ascii="Arial" w:eastAsia="Times New Roman" w:hAnsi="Arial" w:cs="Arial"/>
                <w:sz w:val="16"/>
                <w:szCs w:val="16"/>
              </w:rPr>
              <w:t>586.975,44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C1CA1" w14:textId="77777777" w:rsidR="00FE0C5A" w:rsidRDefault="000C18DB" w:rsidP="00F113BD">
            <w:pPr>
              <w:spacing w:after="0"/>
              <w:jc w:val="right"/>
              <w:rPr>
                <w:rFonts w:eastAsia="Times New Roman"/>
              </w:rPr>
            </w:pPr>
            <w:r>
              <w:rPr>
                <w:rFonts w:ascii="Arial" w:eastAsia="Times New Roman" w:hAnsi="Arial" w:cs="Arial"/>
                <w:sz w:val="16"/>
                <w:szCs w:val="16"/>
              </w:rPr>
              <w:t>586.975,44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330D0"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A416" w14:textId="77777777" w:rsidR="00FE0C5A" w:rsidRDefault="000C18DB" w:rsidP="00F113BD">
            <w:pPr>
              <w:spacing w:after="0"/>
              <w:jc w:val="right"/>
              <w:rPr>
                <w:rFonts w:eastAsia="Times New Roman"/>
              </w:rPr>
            </w:pPr>
            <w:r>
              <w:rPr>
                <w:rFonts w:ascii="Arial" w:eastAsia="Times New Roman" w:hAnsi="Arial" w:cs="Arial"/>
                <w:sz w:val="16"/>
                <w:szCs w:val="16"/>
              </w:rPr>
              <w:t>479.584,05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791AC" w14:textId="77777777" w:rsidR="00FE0C5A" w:rsidRDefault="000C18DB" w:rsidP="00F113BD">
            <w:pPr>
              <w:spacing w:after="0"/>
              <w:jc w:val="right"/>
              <w:rPr>
                <w:rFonts w:eastAsia="Times New Roman"/>
              </w:rPr>
            </w:pPr>
            <w:r>
              <w:rPr>
                <w:rFonts w:ascii="Arial" w:eastAsia="Times New Roman" w:hAnsi="Arial" w:cs="Arial"/>
                <w:sz w:val="16"/>
                <w:szCs w:val="16"/>
              </w:rPr>
              <w:t>479.584,05</w:t>
            </w:r>
          </w:p>
        </w:tc>
      </w:tr>
      <w:tr w:rsidR="00FE0C5A" w14:paraId="65BD6A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2500B7" w14:textId="77777777" w:rsidR="00FE0C5A" w:rsidRDefault="000C18DB" w:rsidP="00F113BD">
            <w:pPr>
              <w:spacing w:after="0"/>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9581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4CAD0" w14:textId="77777777" w:rsidR="00FE0C5A" w:rsidRDefault="000C18DB" w:rsidP="00F113BD">
            <w:pPr>
              <w:spacing w:after="0"/>
              <w:jc w:val="right"/>
              <w:rPr>
                <w:rFonts w:eastAsia="Times New Roman"/>
              </w:rPr>
            </w:pPr>
            <w:r>
              <w:rPr>
                <w:rFonts w:ascii="Arial" w:eastAsia="Times New Roman" w:hAnsi="Arial" w:cs="Arial"/>
                <w:sz w:val="16"/>
                <w:szCs w:val="16"/>
              </w:rPr>
              <w:t>1.380.779,16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55558" w14:textId="77777777" w:rsidR="00FE0C5A" w:rsidRDefault="000C18DB" w:rsidP="00F113BD">
            <w:pPr>
              <w:spacing w:after="0"/>
              <w:jc w:val="right"/>
              <w:rPr>
                <w:rFonts w:eastAsia="Times New Roman"/>
              </w:rPr>
            </w:pPr>
            <w:r>
              <w:rPr>
                <w:rFonts w:ascii="Arial" w:eastAsia="Times New Roman" w:hAnsi="Arial" w:cs="Arial"/>
                <w:sz w:val="16"/>
                <w:szCs w:val="16"/>
              </w:rPr>
              <w:t>1.380.779,16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7EB4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91818" w14:textId="77777777" w:rsidR="00FE0C5A" w:rsidRDefault="000C18DB" w:rsidP="00F113BD">
            <w:pPr>
              <w:spacing w:after="0"/>
              <w:jc w:val="right"/>
              <w:rPr>
                <w:rFonts w:eastAsia="Times New Roman"/>
              </w:rPr>
            </w:pPr>
            <w:r>
              <w:rPr>
                <w:rFonts w:ascii="Arial" w:eastAsia="Times New Roman" w:hAnsi="Arial" w:cs="Arial"/>
                <w:sz w:val="16"/>
                <w:szCs w:val="16"/>
              </w:rPr>
              <w:t>1.221.502,18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E37BF" w14:textId="77777777" w:rsidR="00FE0C5A" w:rsidRDefault="000C18DB" w:rsidP="00F113BD">
            <w:pPr>
              <w:spacing w:after="0"/>
              <w:jc w:val="right"/>
              <w:rPr>
                <w:rFonts w:eastAsia="Times New Roman"/>
              </w:rPr>
            </w:pPr>
            <w:r>
              <w:rPr>
                <w:rFonts w:ascii="Arial" w:eastAsia="Times New Roman" w:hAnsi="Arial" w:cs="Arial"/>
                <w:sz w:val="16"/>
                <w:szCs w:val="16"/>
              </w:rPr>
              <w:t>1.221.502,18</w:t>
            </w:r>
          </w:p>
        </w:tc>
      </w:tr>
      <w:tr w:rsidR="00FE0C5A" w14:paraId="4D0F98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B956E9" w14:textId="6E35F926" w:rsidR="00FE0C5A" w:rsidRDefault="000C18DB" w:rsidP="00E940B1">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7EC15"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8A763" w14:textId="77777777" w:rsidR="00FE0C5A" w:rsidRDefault="000C18DB" w:rsidP="00F113BD">
            <w:pPr>
              <w:spacing w:after="0"/>
              <w:jc w:val="right"/>
              <w:rPr>
                <w:rFonts w:eastAsia="Times New Roman"/>
              </w:rPr>
            </w:pPr>
            <w:r>
              <w:rPr>
                <w:rFonts w:ascii="Arial" w:eastAsia="Times New Roman" w:hAnsi="Arial" w:cs="Arial"/>
                <w:b/>
                <w:bCs/>
                <w:sz w:val="16"/>
                <w:szCs w:val="16"/>
              </w:rPr>
              <w:t>2.317.121,33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A5EED" w14:textId="77777777" w:rsidR="00FE0C5A" w:rsidRDefault="000C18DB" w:rsidP="00F113BD">
            <w:pPr>
              <w:spacing w:after="0"/>
              <w:jc w:val="right"/>
              <w:rPr>
                <w:rFonts w:eastAsia="Times New Roman"/>
              </w:rPr>
            </w:pPr>
            <w:r>
              <w:rPr>
                <w:rFonts w:ascii="Arial" w:eastAsia="Times New Roman" w:hAnsi="Arial" w:cs="Arial"/>
                <w:b/>
                <w:bCs/>
                <w:sz w:val="16"/>
                <w:szCs w:val="16"/>
              </w:rPr>
              <w:t>2.317.121,33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87B66"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2AE9B" w14:textId="77777777" w:rsidR="00FE0C5A" w:rsidRDefault="000C18DB" w:rsidP="00F113BD">
            <w:pPr>
              <w:spacing w:after="0"/>
              <w:jc w:val="right"/>
              <w:rPr>
                <w:rFonts w:eastAsia="Times New Roman"/>
              </w:rPr>
            </w:pPr>
            <w:r>
              <w:rPr>
                <w:rFonts w:ascii="Arial" w:eastAsia="Times New Roman" w:hAnsi="Arial" w:cs="Arial"/>
                <w:b/>
                <w:bCs/>
                <w:sz w:val="16"/>
                <w:szCs w:val="16"/>
              </w:rPr>
              <w:t>2.010.152,47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12CC6" w14:textId="77777777" w:rsidR="00FE0C5A" w:rsidRDefault="000C18DB" w:rsidP="00F113BD">
            <w:pPr>
              <w:spacing w:after="0"/>
              <w:jc w:val="right"/>
              <w:rPr>
                <w:rFonts w:eastAsia="Times New Roman"/>
              </w:rPr>
            </w:pPr>
            <w:r>
              <w:rPr>
                <w:rFonts w:ascii="Arial" w:eastAsia="Times New Roman" w:hAnsi="Arial" w:cs="Arial"/>
                <w:b/>
                <w:bCs/>
                <w:sz w:val="16"/>
                <w:szCs w:val="16"/>
              </w:rPr>
              <w:t>2.010.152,47</w:t>
            </w:r>
          </w:p>
        </w:tc>
      </w:tr>
    </w:tbl>
    <w:p w14:paraId="41088EDC" w14:textId="76E9462C" w:rsidR="00FE0C5A" w:rsidRDefault="00E940B1">
      <w:pPr>
        <w:pStyle w:val="NormalWeb"/>
        <w:jc w:val="both"/>
      </w:pPr>
      <w:r>
        <w:rPr>
          <w:rFonts w:ascii="Arial" w:hAnsi="Arial" w:cs="Arial"/>
          <w:b/>
          <w:bCs/>
          <w:sz w:val="20"/>
          <w:szCs w:val="20"/>
        </w:rPr>
        <w:t>8.1 Provisão para Perdas Esperadas Associadas ao Risco de Crédito Relativas a Outros Ativos Financeiros</w:t>
      </w:r>
    </w:p>
    <w:p w14:paraId="005D5914" w14:textId="77777777" w:rsidR="00FE0C5A" w:rsidRDefault="000C18DB">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182F0EDD" w14:textId="77777777" w:rsidR="00FE0C5A" w:rsidRDefault="000C18DB">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3324"/>
        <w:gridCol w:w="1028"/>
        <w:gridCol w:w="1276"/>
        <w:gridCol w:w="1028"/>
        <w:gridCol w:w="1028"/>
        <w:gridCol w:w="1276"/>
        <w:gridCol w:w="1028"/>
      </w:tblGrid>
      <w:tr w:rsidR="00FE0C5A" w14:paraId="0085876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59E969"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5C4108"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37C4CC"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7D753CC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DA7295F"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ADD88"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17C57"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BF435"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441E9"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16B61"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112A7"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1E96DF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AA5DCA" w14:textId="77777777" w:rsidR="00FE0C5A" w:rsidRDefault="000C18DB" w:rsidP="00F113BD">
            <w:pPr>
              <w:spacing w:after="0"/>
              <w:rPr>
                <w:rFonts w:eastAsia="Times New Roman"/>
              </w:rPr>
            </w:pPr>
            <w:r>
              <w:rPr>
                <w:rFonts w:ascii="Arial" w:eastAsia="Times New Roman" w:hAnsi="Arial" w:cs="Arial"/>
                <w:sz w:val="16"/>
                <w:szCs w:val="16"/>
              </w:rPr>
              <w:t xml:space="preserve">Provisões para Avais e Fianças </w:t>
            </w:r>
            <w:r>
              <w:rPr>
                <w:rFonts w:ascii="Arial" w:eastAsia="Times New Roman" w:hAnsi="Arial" w:cs="Arial"/>
                <w:sz w:val="16"/>
                <w:szCs w:val="16"/>
              </w:rPr>
              <w:t>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CD5A4" w14:textId="77777777" w:rsidR="00FE0C5A" w:rsidRDefault="000C18DB" w:rsidP="00F113BD">
            <w:pPr>
              <w:spacing w:after="0"/>
              <w:jc w:val="right"/>
              <w:rPr>
                <w:rFonts w:eastAsia="Times New Roman"/>
              </w:rPr>
            </w:pPr>
            <w:r>
              <w:rPr>
                <w:rFonts w:ascii="Arial" w:eastAsia="Times New Roman" w:hAnsi="Arial" w:cs="Arial"/>
                <w:sz w:val="16"/>
                <w:szCs w:val="16"/>
              </w:rPr>
              <w:t>(554.614,91)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CC47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961BE" w14:textId="77777777" w:rsidR="00FE0C5A" w:rsidRDefault="000C18DB" w:rsidP="00F113BD">
            <w:pPr>
              <w:spacing w:after="0"/>
              <w:jc w:val="right"/>
              <w:rPr>
                <w:rFonts w:eastAsia="Times New Roman"/>
              </w:rPr>
            </w:pPr>
            <w:r>
              <w:rPr>
                <w:rFonts w:ascii="Arial" w:eastAsia="Times New Roman" w:hAnsi="Arial" w:cs="Arial"/>
                <w:sz w:val="16"/>
                <w:szCs w:val="16"/>
              </w:rPr>
              <w:t>(554.614,91)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79A6E" w14:textId="77777777" w:rsidR="00FE0C5A" w:rsidRDefault="000C18DB" w:rsidP="00F113BD">
            <w:pPr>
              <w:spacing w:after="0"/>
              <w:jc w:val="right"/>
              <w:rPr>
                <w:rFonts w:eastAsia="Times New Roman"/>
              </w:rPr>
            </w:pPr>
            <w:r>
              <w:rPr>
                <w:rFonts w:ascii="Arial" w:eastAsia="Times New Roman" w:hAnsi="Arial" w:cs="Arial"/>
                <w:sz w:val="16"/>
                <w:szCs w:val="16"/>
              </w:rPr>
              <w:t>(316.025,07)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C30B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5FCFB" w14:textId="77777777" w:rsidR="00FE0C5A" w:rsidRDefault="000C18DB" w:rsidP="00F113BD">
            <w:pPr>
              <w:spacing w:after="0"/>
              <w:jc w:val="right"/>
              <w:rPr>
                <w:rFonts w:eastAsia="Times New Roman"/>
              </w:rPr>
            </w:pPr>
            <w:r>
              <w:rPr>
                <w:rFonts w:ascii="Arial" w:eastAsia="Times New Roman" w:hAnsi="Arial" w:cs="Arial"/>
                <w:sz w:val="16"/>
                <w:szCs w:val="16"/>
              </w:rPr>
              <w:t>(316.025,07)</w:t>
            </w:r>
          </w:p>
        </w:tc>
      </w:tr>
      <w:tr w:rsidR="00FE0C5A" w14:paraId="715F0A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0F0BE5"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81E31" w14:textId="77777777" w:rsidR="00FE0C5A" w:rsidRDefault="000C18DB" w:rsidP="00F113BD">
            <w:pPr>
              <w:spacing w:after="0"/>
              <w:jc w:val="right"/>
              <w:rPr>
                <w:rFonts w:eastAsia="Times New Roman"/>
              </w:rPr>
            </w:pPr>
            <w:r>
              <w:rPr>
                <w:rFonts w:ascii="Arial" w:eastAsia="Times New Roman" w:hAnsi="Arial" w:cs="Arial"/>
                <w:b/>
                <w:bCs/>
                <w:sz w:val="16"/>
                <w:szCs w:val="16"/>
              </w:rPr>
              <w:t>(554.614,91)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B1B04"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81A6F" w14:textId="77777777" w:rsidR="00FE0C5A" w:rsidRDefault="000C18DB" w:rsidP="00F113BD">
            <w:pPr>
              <w:spacing w:after="0"/>
              <w:jc w:val="right"/>
              <w:rPr>
                <w:rFonts w:eastAsia="Times New Roman"/>
              </w:rPr>
            </w:pPr>
            <w:r>
              <w:rPr>
                <w:rFonts w:ascii="Arial" w:eastAsia="Times New Roman" w:hAnsi="Arial" w:cs="Arial"/>
                <w:b/>
                <w:bCs/>
                <w:sz w:val="16"/>
                <w:szCs w:val="16"/>
              </w:rPr>
              <w:t>(554.614,91)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ACDB9" w14:textId="77777777" w:rsidR="00FE0C5A" w:rsidRDefault="000C18DB" w:rsidP="00F113BD">
            <w:pPr>
              <w:spacing w:after="0"/>
              <w:jc w:val="right"/>
              <w:rPr>
                <w:rFonts w:eastAsia="Times New Roman"/>
              </w:rPr>
            </w:pPr>
            <w:r>
              <w:rPr>
                <w:rFonts w:ascii="Arial" w:eastAsia="Times New Roman" w:hAnsi="Arial" w:cs="Arial"/>
                <w:b/>
                <w:bCs/>
                <w:sz w:val="16"/>
                <w:szCs w:val="16"/>
              </w:rPr>
              <w:t>(316.025,07)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2EAED"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B7332" w14:textId="77777777" w:rsidR="00FE0C5A" w:rsidRDefault="000C18DB" w:rsidP="00F113BD">
            <w:pPr>
              <w:spacing w:after="0"/>
              <w:jc w:val="right"/>
              <w:rPr>
                <w:rFonts w:eastAsia="Times New Roman"/>
              </w:rPr>
            </w:pPr>
            <w:r>
              <w:rPr>
                <w:rFonts w:ascii="Arial" w:eastAsia="Times New Roman" w:hAnsi="Arial" w:cs="Arial"/>
                <w:b/>
                <w:bCs/>
                <w:sz w:val="16"/>
                <w:szCs w:val="16"/>
              </w:rPr>
              <w:t>(316.025,07)</w:t>
            </w:r>
          </w:p>
        </w:tc>
      </w:tr>
    </w:tbl>
    <w:p w14:paraId="0F561F8D" w14:textId="77777777" w:rsidR="00FE0C5A" w:rsidRDefault="000C18DB">
      <w:pPr>
        <w:pStyle w:val="NormalWeb"/>
        <w:jc w:val="both"/>
      </w:pPr>
      <w:r>
        <w:rPr>
          <w:rFonts w:ascii="Arial" w:hAnsi="Arial" w:cs="Arial"/>
          <w:sz w:val="20"/>
          <w:szCs w:val="20"/>
        </w:rPr>
        <w:t xml:space="preserve">b) Provisões para Perdas Associadas ao Risco de Crédito relativas a Outros Ativos Financeiros, por tipo de operação e </w:t>
      </w:r>
      <w:r>
        <w:rPr>
          <w:rFonts w:ascii="Arial" w:hAnsi="Arial" w:cs="Arial"/>
          <w:sz w:val="20"/>
          <w:szCs w:val="20"/>
        </w:rPr>
        <w:t>classificação de nível de risco:</w:t>
      </w:r>
    </w:p>
    <w:tbl>
      <w:tblPr>
        <w:tblW w:w="5000" w:type="pct"/>
        <w:tblCellMar>
          <w:left w:w="0" w:type="dxa"/>
          <w:right w:w="0" w:type="dxa"/>
        </w:tblCellMar>
        <w:tblLook w:val="04A0" w:firstRow="1" w:lastRow="0" w:firstColumn="1" w:lastColumn="0" w:noHBand="0" w:noVBand="1"/>
      </w:tblPr>
      <w:tblGrid>
        <w:gridCol w:w="239"/>
        <w:gridCol w:w="717"/>
        <w:gridCol w:w="1125"/>
        <w:gridCol w:w="2293"/>
        <w:gridCol w:w="1404"/>
        <w:gridCol w:w="1404"/>
        <w:gridCol w:w="1404"/>
        <w:gridCol w:w="1402"/>
      </w:tblGrid>
      <w:tr w:rsidR="000E2E9F" w14:paraId="0BAE242D" w14:textId="77777777" w:rsidTr="000E2E9F">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76052735" w14:textId="77777777" w:rsidR="000E2E9F" w:rsidRDefault="000E2E9F" w:rsidP="00F113BD">
            <w:pPr>
              <w:spacing w:after="0"/>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1148" w:type="pct"/>
            <w:tcBorders>
              <w:top w:val="outset" w:sz="6" w:space="0" w:color="auto"/>
              <w:left w:val="outset" w:sz="6" w:space="0" w:color="auto"/>
              <w:bottom w:val="outset" w:sz="6" w:space="0" w:color="auto"/>
              <w:right w:val="outset" w:sz="6" w:space="0" w:color="auto"/>
            </w:tcBorders>
            <w:vAlign w:val="center"/>
            <w:hideMark/>
          </w:tcPr>
          <w:p w14:paraId="1ACFEEDD" w14:textId="77777777" w:rsidR="000E2E9F" w:rsidRDefault="000E2E9F" w:rsidP="00F113BD">
            <w:pPr>
              <w:spacing w:after="0"/>
              <w:jc w:val="center"/>
              <w:rPr>
                <w:rFonts w:eastAsia="Times New Roman"/>
              </w:rPr>
            </w:pPr>
            <w:r>
              <w:rPr>
                <w:rFonts w:ascii="Arial" w:eastAsia="Times New Roman" w:hAnsi="Arial" w:cs="Arial"/>
                <w:b/>
                <w:bCs/>
                <w:sz w:val="16"/>
                <w:szCs w:val="16"/>
              </w:rPr>
              <w:t>Avais e Fianças Honrados</w:t>
            </w:r>
          </w:p>
        </w:tc>
        <w:tc>
          <w:tcPr>
            <w:tcW w:w="703" w:type="pct"/>
            <w:tcBorders>
              <w:top w:val="outset" w:sz="6" w:space="0" w:color="auto"/>
              <w:left w:val="outset" w:sz="6" w:space="0" w:color="auto"/>
              <w:bottom w:val="outset" w:sz="6" w:space="0" w:color="auto"/>
              <w:right w:val="outset" w:sz="6" w:space="0" w:color="auto"/>
            </w:tcBorders>
            <w:vAlign w:val="center"/>
            <w:hideMark/>
          </w:tcPr>
          <w:p w14:paraId="693A3C1B" w14:textId="77777777" w:rsidR="000E2E9F" w:rsidRDefault="000E2E9F" w:rsidP="00F113BD">
            <w:pPr>
              <w:spacing w:after="0"/>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703" w:type="pct"/>
            <w:tcBorders>
              <w:top w:val="outset" w:sz="6" w:space="0" w:color="auto"/>
              <w:left w:val="outset" w:sz="6" w:space="0" w:color="auto"/>
              <w:bottom w:val="outset" w:sz="6" w:space="0" w:color="auto"/>
              <w:right w:val="outset" w:sz="6" w:space="0" w:color="auto"/>
            </w:tcBorders>
            <w:vAlign w:val="center"/>
            <w:hideMark/>
          </w:tcPr>
          <w:p w14:paraId="7A20C38D" w14:textId="77777777" w:rsidR="000E2E9F" w:rsidRDefault="000E2E9F" w:rsidP="00F113BD">
            <w:pPr>
              <w:spacing w:after="0"/>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c>
          <w:tcPr>
            <w:tcW w:w="703" w:type="pct"/>
            <w:tcBorders>
              <w:top w:val="outset" w:sz="6" w:space="0" w:color="auto"/>
              <w:left w:val="outset" w:sz="6" w:space="0" w:color="auto"/>
              <w:bottom w:val="outset" w:sz="6" w:space="0" w:color="auto"/>
              <w:right w:val="outset" w:sz="6" w:space="0" w:color="auto"/>
            </w:tcBorders>
            <w:vAlign w:val="center"/>
            <w:hideMark/>
          </w:tcPr>
          <w:p w14:paraId="55FB0011" w14:textId="77777777" w:rsidR="000E2E9F" w:rsidRDefault="000E2E9F" w:rsidP="00F113BD">
            <w:pPr>
              <w:spacing w:after="0"/>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31/12/2022</w:t>
            </w:r>
          </w:p>
        </w:tc>
        <w:tc>
          <w:tcPr>
            <w:tcW w:w="703" w:type="pct"/>
            <w:tcBorders>
              <w:top w:val="outset" w:sz="6" w:space="0" w:color="auto"/>
              <w:left w:val="outset" w:sz="6" w:space="0" w:color="auto"/>
              <w:bottom w:val="outset" w:sz="6" w:space="0" w:color="auto"/>
              <w:right w:val="outset" w:sz="6" w:space="0" w:color="auto"/>
            </w:tcBorders>
            <w:vAlign w:val="center"/>
            <w:hideMark/>
          </w:tcPr>
          <w:p w14:paraId="193E7228" w14:textId="77777777" w:rsidR="000E2E9F" w:rsidRDefault="000E2E9F" w:rsidP="00F113BD">
            <w:pPr>
              <w:spacing w:after="0"/>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31/12/2022</w:t>
            </w:r>
          </w:p>
        </w:tc>
      </w:tr>
      <w:tr w:rsidR="000E2E9F" w14:paraId="54C37238" w14:textId="77777777" w:rsidTr="000E2E9F">
        <w:tc>
          <w:tcPr>
            <w:tcW w:w="119" w:type="pct"/>
            <w:tcBorders>
              <w:top w:val="outset" w:sz="6" w:space="0" w:color="auto"/>
              <w:left w:val="outset" w:sz="6" w:space="0" w:color="auto"/>
              <w:bottom w:val="outset" w:sz="6" w:space="0" w:color="auto"/>
              <w:right w:val="outset" w:sz="6" w:space="0" w:color="auto"/>
            </w:tcBorders>
            <w:vAlign w:val="center"/>
            <w:hideMark/>
          </w:tcPr>
          <w:p w14:paraId="32AE9C4E" w14:textId="77777777" w:rsidR="000E2E9F" w:rsidRDefault="000E2E9F" w:rsidP="00F113BD">
            <w:pPr>
              <w:spacing w:after="0"/>
              <w:jc w:val="center"/>
              <w:rPr>
                <w:rFonts w:eastAsia="Times New Roman"/>
              </w:rPr>
            </w:pPr>
            <w:r>
              <w:rPr>
                <w:rFonts w:ascii="Arial" w:eastAsia="Times New Roman" w:hAnsi="Arial" w:cs="Arial"/>
                <w:sz w:val="16"/>
                <w:szCs w:val="16"/>
              </w:rPr>
              <w:t>E</w:t>
            </w:r>
          </w:p>
        </w:tc>
        <w:tc>
          <w:tcPr>
            <w:tcW w:w="359" w:type="pct"/>
            <w:tcBorders>
              <w:top w:val="outset" w:sz="6" w:space="0" w:color="auto"/>
              <w:left w:val="outset" w:sz="6" w:space="0" w:color="auto"/>
              <w:bottom w:val="outset" w:sz="6" w:space="0" w:color="auto"/>
              <w:right w:val="outset" w:sz="6" w:space="0" w:color="auto"/>
            </w:tcBorders>
            <w:vAlign w:val="center"/>
            <w:hideMark/>
          </w:tcPr>
          <w:p w14:paraId="6FAF1A86" w14:textId="77777777" w:rsidR="000E2E9F" w:rsidRDefault="000E2E9F" w:rsidP="00F113BD">
            <w:pPr>
              <w:spacing w:after="0"/>
              <w:jc w:val="center"/>
              <w:rPr>
                <w:rFonts w:eastAsia="Times New Roman"/>
              </w:rPr>
            </w:pPr>
            <w:r>
              <w:rPr>
                <w:rFonts w:ascii="Arial" w:eastAsia="Times New Roman" w:hAnsi="Arial" w:cs="Arial"/>
                <w:sz w:val="16"/>
                <w:szCs w:val="16"/>
              </w:rPr>
              <w:t>30%</w:t>
            </w:r>
          </w:p>
        </w:tc>
        <w:tc>
          <w:tcPr>
            <w:tcW w:w="563" w:type="pct"/>
            <w:tcBorders>
              <w:top w:val="outset" w:sz="6" w:space="0" w:color="auto"/>
              <w:left w:val="outset" w:sz="6" w:space="0" w:color="auto"/>
              <w:bottom w:val="outset" w:sz="6" w:space="0" w:color="auto"/>
              <w:right w:val="outset" w:sz="6" w:space="0" w:color="auto"/>
            </w:tcBorders>
            <w:vAlign w:val="center"/>
            <w:hideMark/>
          </w:tcPr>
          <w:p w14:paraId="2B997DBE" w14:textId="77777777" w:rsidR="000E2E9F" w:rsidRDefault="000E2E9F" w:rsidP="00F113BD">
            <w:pPr>
              <w:spacing w:after="0"/>
              <w:jc w:val="center"/>
              <w:rPr>
                <w:rFonts w:eastAsia="Times New Roman"/>
              </w:rPr>
            </w:pPr>
            <w:r>
              <w:rPr>
                <w:rFonts w:ascii="Arial" w:eastAsia="Times New Roman" w:hAnsi="Arial" w:cs="Arial"/>
                <w:sz w:val="16"/>
                <w:szCs w:val="16"/>
              </w:rPr>
              <w:t>Normal</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906B787" w14:textId="77777777" w:rsidR="000E2E9F" w:rsidRDefault="000E2E9F" w:rsidP="00F113BD">
            <w:pPr>
              <w:spacing w:after="0"/>
              <w:jc w:val="right"/>
              <w:rPr>
                <w:rFonts w:eastAsia="Times New Roman"/>
              </w:rPr>
            </w:pPr>
            <w:r>
              <w:rPr>
                <w:rFonts w:ascii="Arial" w:eastAsia="Times New Roman" w:hAnsi="Arial" w:cs="Arial"/>
                <w:sz w:val="16"/>
                <w:szCs w:val="16"/>
              </w:rPr>
              <w:t>79.734,05</w:t>
            </w:r>
          </w:p>
        </w:tc>
        <w:tc>
          <w:tcPr>
            <w:tcW w:w="703" w:type="pct"/>
            <w:tcBorders>
              <w:top w:val="outset" w:sz="6" w:space="0" w:color="auto"/>
              <w:left w:val="outset" w:sz="6" w:space="0" w:color="auto"/>
              <w:bottom w:val="outset" w:sz="6" w:space="0" w:color="auto"/>
              <w:right w:val="outset" w:sz="6" w:space="0" w:color="auto"/>
            </w:tcBorders>
            <w:vAlign w:val="center"/>
            <w:hideMark/>
          </w:tcPr>
          <w:p w14:paraId="55D60864" w14:textId="77777777" w:rsidR="000E2E9F" w:rsidRDefault="000E2E9F" w:rsidP="00F113BD">
            <w:pPr>
              <w:spacing w:after="0"/>
              <w:jc w:val="right"/>
              <w:rPr>
                <w:rFonts w:eastAsia="Times New Roman"/>
              </w:rPr>
            </w:pPr>
            <w:r>
              <w:rPr>
                <w:rFonts w:ascii="Arial" w:eastAsia="Times New Roman" w:hAnsi="Arial" w:cs="Arial"/>
                <w:sz w:val="16"/>
                <w:szCs w:val="16"/>
              </w:rPr>
              <w:t>79.734,05</w:t>
            </w:r>
          </w:p>
        </w:tc>
        <w:tc>
          <w:tcPr>
            <w:tcW w:w="703" w:type="pct"/>
            <w:tcBorders>
              <w:top w:val="outset" w:sz="6" w:space="0" w:color="auto"/>
              <w:left w:val="outset" w:sz="6" w:space="0" w:color="auto"/>
              <w:bottom w:val="outset" w:sz="6" w:space="0" w:color="auto"/>
              <w:right w:val="outset" w:sz="6" w:space="0" w:color="auto"/>
            </w:tcBorders>
            <w:vAlign w:val="center"/>
            <w:hideMark/>
          </w:tcPr>
          <w:p w14:paraId="0F0CC105" w14:textId="77777777" w:rsidR="000E2E9F" w:rsidRDefault="000E2E9F" w:rsidP="00F113BD">
            <w:pPr>
              <w:spacing w:after="0"/>
              <w:jc w:val="right"/>
              <w:rPr>
                <w:rFonts w:eastAsia="Times New Roman"/>
              </w:rPr>
            </w:pPr>
            <w:r>
              <w:rPr>
                <w:rFonts w:ascii="Arial" w:eastAsia="Times New Roman" w:hAnsi="Arial" w:cs="Arial"/>
                <w:sz w:val="16"/>
                <w:szCs w:val="16"/>
              </w:rPr>
              <w:t>(23.920,22)</w:t>
            </w:r>
          </w:p>
        </w:tc>
        <w:tc>
          <w:tcPr>
            <w:tcW w:w="703" w:type="pct"/>
            <w:tcBorders>
              <w:top w:val="outset" w:sz="6" w:space="0" w:color="auto"/>
              <w:left w:val="outset" w:sz="6" w:space="0" w:color="auto"/>
              <w:bottom w:val="outset" w:sz="6" w:space="0" w:color="auto"/>
              <w:right w:val="outset" w:sz="6" w:space="0" w:color="auto"/>
            </w:tcBorders>
            <w:vAlign w:val="center"/>
            <w:hideMark/>
          </w:tcPr>
          <w:p w14:paraId="77558460" w14:textId="77777777" w:rsidR="000E2E9F" w:rsidRDefault="000E2E9F" w:rsidP="00F113BD">
            <w:pPr>
              <w:spacing w:after="0"/>
              <w:jc w:val="center"/>
              <w:rPr>
                <w:rFonts w:eastAsia="Times New Roman"/>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26C4537C" w14:textId="77777777" w:rsidR="000E2E9F" w:rsidRDefault="000E2E9F" w:rsidP="00F113BD">
            <w:pPr>
              <w:spacing w:after="0"/>
              <w:jc w:val="center"/>
              <w:rPr>
                <w:rFonts w:eastAsia="Times New Roman"/>
              </w:rPr>
            </w:pPr>
            <w:r>
              <w:rPr>
                <w:rFonts w:ascii="Arial" w:eastAsia="Times New Roman" w:hAnsi="Arial" w:cs="Arial"/>
                <w:sz w:val="16"/>
                <w:szCs w:val="16"/>
              </w:rPr>
              <w:t>-</w:t>
            </w:r>
          </w:p>
        </w:tc>
      </w:tr>
      <w:tr w:rsidR="000E2E9F" w14:paraId="17C3CAC6" w14:textId="77777777" w:rsidTr="000E2E9F">
        <w:tc>
          <w:tcPr>
            <w:tcW w:w="119" w:type="pct"/>
            <w:tcBorders>
              <w:top w:val="outset" w:sz="6" w:space="0" w:color="auto"/>
              <w:left w:val="outset" w:sz="6" w:space="0" w:color="auto"/>
              <w:bottom w:val="outset" w:sz="6" w:space="0" w:color="auto"/>
              <w:right w:val="outset" w:sz="6" w:space="0" w:color="auto"/>
            </w:tcBorders>
            <w:vAlign w:val="center"/>
            <w:hideMark/>
          </w:tcPr>
          <w:p w14:paraId="6901B4B2" w14:textId="77777777" w:rsidR="000E2E9F" w:rsidRDefault="000E2E9F" w:rsidP="00F113BD">
            <w:pPr>
              <w:spacing w:after="0"/>
              <w:jc w:val="center"/>
              <w:rPr>
                <w:rFonts w:eastAsia="Times New Roman"/>
              </w:rPr>
            </w:pPr>
            <w:r>
              <w:rPr>
                <w:rFonts w:ascii="Arial" w:eastAsia="Times New Roman" w:hAnsi="Arial" w:cs="Arial"/>
                <w:sz w:val="16"/>
                <w:szCs w:val="16"/>
              </w:rPr>
              <w:lastRenderedPageBreak/>
              <w:t>E</w:t>
            </w:r>
          </w:p>
        </w:tc>
        <w:tc>
          <w:tcPr>
            <w:tcW w:w="359" w:type="pct"/>
            <w:tcBorders>
              <w:top w:val="outset" w:sz="6" w:space="0" w:color="auto"/>
              <w:left w:val="outset" w:sz="6" w:space="0" w:color="auto"/>
              <w:bottom w:val="outset" w:sz="6" w:space="0" w:color="auto"/>
              <w:right w:val="outset" w:sz="6" w:space="0" w:color="auto"/>
            </w:tcBorders>
            <w:vAlign w:val="center"/>
            <w:hideMark/>
          </w:tcPr>
          <w:p w14:paraId="017DEF27" w14:textId="77777777" w:rsidR="000E2E9F" w:rsidRDefault="000E2E9F" w:rsidP="00F113BD">
            <w:pPr>
              <w:spacing w:after="0"/>
              <w:jc w:val="center"/>
              <w:rPr>
                <w:rFonts w:eastAsia="Times New Roman"/>
              </w:rPr>
            </w:pPr>
            <w:r>
              <w:rPr>
                <w:rFonts w:ascii="Arial" w:eastAsia="Times New Roman" w:hAnsi="Arial" w:cs="Arial"/>
                <w:sz w:val="16"/>
                <w:szCs w:val="16"/>
              </w:rPr>
              <w:t>30%</w:t>
            </w:r>
          </w:p>
        </w:tc>
        <w:tc>
          <w:tcPr>
            <w:tcW w:w="563" w:type="pct"/>
            <w:tcBorders>
              <w:top w:val="outset" w:sz="6" w:space="0" w:color="auto"/>
              <w:left w:val="outset" w:sz="6" w:space="0" w:color="auto"/>
              <w:bottom w:val="outset" w:sz="6" w:space="0" w:color="auto"/>
              <w:right w:val="outset" w:sz="6" w:space="0" w:color="auto"/>
            </w:tcBorders>
            <w:vAlign w:val="center"/>
            <w:hideMark/>
          </w:tcPr>
          <w:p w14:paraId="574C6084" w14:textId="77777777" w:rsidR="000E2E9F" w:rsidRDefault="000E2E9F" w:rsidP="00F113BD">
            <w:pPr>
              <w:spacing w:after="0"/>
              <w:jc w:val="center"/>
              <w:rPr>
                <w:rFonts w:eastAsia="Times New Roman"/>
              </w:rPr>
            </w:pPr>
            <w:r>
              <w:rPr>
                <w:rFonts w:ascii="Arial" w:eastAsia="Times New Roman" w:hAnsi="Arial" w:cs="Arial"/>
                <w:sz w:val="16"/>
                <w:szCs w:val="16"/>
              </w:rPr>
              <w:t>Vencidas</w:t>
            </w:r>
          </w:p>
        </w:tc>
        <w:tc>
          <w:tcPr>
            <w:tcW w:w="1148" w:type="pct"/>
            <w:tcBorders>
              <w:top w:val="outset" w:sz="6" w:space="0" w:color="auto"/>
              <w:left w:val="outset" w:sz="6" w:space="0" w:color="auto"/>
              <w:bottom w:val="outset" w:sz="6" w:space="0" w:color="auto"/>
              <w:right w:val="outset" w:sz="6" w:space="0" w:color="auto"/>
            </w:tcBorders>
            <w:vAlign w:val="center"/>
            <w:hideMark/>
          </w:tcPr>
          <w:p w14:paraId="5DA61027" w14:textId="77777777" w:rsidR="000E2E9F" w:rsidRDefault="000E2E9F" w:rsidP="00F113BD">
            <w:pPr>
              <w:spacing w:after="0"/>
              <w:jc w:val="right"/>
              <w:rPr>
                <w:rFonts w:eastAsia="Times New Roman"/>
              </w:rPr>
            </w:pPr>
            <w:r>
              <w:rPr>
                <w:rFonts w:ascii="Arial" w:eastAsia="Times New Roman" w:hAnsi="Arial" w:cs="Arial"/>
                <w:sz w:val="16"/>
                <w:szCs w:val="16"/>
              </w:rPr>
              <w:t>76.946,07</w:t>
            </w:r>
          </w:p>
        </w:tc>
        <w:tc>
          <w:tcPr>
            <w:tcW w:w="703" w:type="pct"/>
            <w:tcBorders>
              <w:top w:val="outset" w:sz="6" w:space="0" w:color="auto"/>
              <w:left w:val="outset" w:sz="6" w:space="0" w:color="auto"/>
              <w:bottom w:val="outset" w:sz="6" w:space="0" w:color="auto"/>
              <w:right w:val="outset" w:sz="6" w:space="0" w:color="auto"/>
            </w:tcBorders>
            <w:vAlign w:val="center"/>
            <w:hideMark/>
          </w:tcPr>
          <w:p w14:paraId="4CAC47E7" w14:textId="77777777" w:rsidR="000E2E9F" w:rsidRDefault="000E2E9F" w:rsidP="00F113BD">
            <w:pPr>
              <w:spacing w:after="0"/>
              <w:jc w:val="right"/>
              <w:rPr>
                <w:rFonts w:eastAsia="Times New Roman"/>
              </w:rPr>
            </w:pPr>
            <w:r>
              <w:rPr>
                <w:rFonts w:ascii="Arial" w:eastAsia="Times New Roman" w:hAnsi="Arial" w:cs="Arial"/>
                <w:sz w:val="16"/>
                <w:szCs w:val="16"/>
              </w:rPr>
              <w:t>76.946,07</w:t>
            </w:r>
          </w:p>
        </w:tc>
        <w:tc>
          <w:tcPr>
            <w:tcW w:w="703" w:type="pct"/>
            <w:tcBorders>
              <w:top w:val="outset" w:sz="6" w:space="0" w:color="auto"/>
              <w:left w:val="outset" w:sz="6" w:space="0" w:color="auto"/>
              <w:bottom w:val="outset" w:sz="6" w:space="0" w:color="auto"/>
              <w:right w:val="outset" w:sz="6" w:space="0" w:color="auto"/>
            </w:tcBorders>
            <w:vAlign w:val="center"/>
            <w:hideMark/>
          </w:tcPr>
          <w:p w14:paraId="084F3772" w14:textId="77777777" w:rsidR="000E2E9F" w:rsidRDefault="000E2E9F" w:rsidP="00F113BD">
            <w:pPr>
              <w:spacing w:after="0"/>
              <w:jc w:val="right"/>
              <w:rPr>
                <w:rFonts w:eastAsia="Times New Roman"/>
              </w:rPr>
            </w:pPr>
            <w:r>
              <w:rPr>
                <w:rFonts w:ascii="Arial" w:eastAsia="Times New Roman" w:hAnsi="Arial" w:cs="Arial"/>
                <w:sz w:val="16"/>
                <w:szCs w:val="16"/>
              </w:rPr>
              <w:t>(23.083,82)</w:t>
            </w:r>
          </w:p>
        </w:tc>
        <w:tc>
          <w:tcPr>
            <w:tcW w:w="703" w:type="pct"/>
            <w:tcBorders>
              <w:top w:val="outset" w:sz="6" w:space="0" w:color="auto"/>
              <w:left w:val="outset" w:sz="6" w:space="0" w:color="auto"/>
              <w:bottom w:val="outset" w:sz="6" w:space="0" w:color="auto"/>
              <w:right w:val="outset" w:sz="6" w:space="0" w:color="auto"/>
            </w:tcBorders>
            <w:vAlign w:val="center"/>
            <w:hideMark/>
          </w:tcPr>
          <w:p w14:paraId="620ED1AD" w14:textId="77777777" w:rsidR="000E2E9F" w:rsidRDefault="000E2E9F" w:rsidP="00F113BD">
            <w:pPr>
              <w:spacing w:after="0"/>
              <w:jc w:val="right"/>
              <w:rPr>
                <w:rFonts w:eastAsia="Times New Roman"/>
              </w:rPr>
            </w:pPr>
            <w:r>
              <w:rPr>
                <w:rFonts w:ascii="Arial" w:eastAsia="Times New Roman" w:hAnsi="Arial" w:cs="Arial"/>
                <w:sz w:val="16"/>
                <w:szCs w:val="16"/>
              </w:rPr>
              <w:t>99.366,75</w:t>
            </w:r>
          </w:p>
        </w:tc>
        <w:tc>
          <w:tcPr>
            <w:tcW w:w="703" w:type="pct"/>
            <w:tcBorders>
              <w:top w:val="outset" w:sz="6" w:space="0" w:color="auto"/>
              <w:left w:val="outset" w:sz="6" w:space="0" w:color="auto"/>
              <w:bottom w:val="outset" w:sz="6" w:space="0" w:color="auto"/>
              <w:right w:val="outset" w:sz="6" w:space="0" w:color="auto"/>
            </w:tcBorders>
            <w:vAlign w:val="center"/>
            <w:hideMark/>
          </w:tcPr>
          <w:p w14:paraId="6D8EBBB4" w14:textId="77777777" w:rsidR="000E2E9F" w:rsidRDefault="000E2E9F" w:rsidP="00F113BD">
            <w:pPr>
              <w:spacing w:after="0"/>
              <w:jc w:val="right"/>
              <w:rPr>
                <w:rFonts w:eastAsia="Times New Roman"/>
              </w:rPr>
            </w:pPr>
            <w:r>
              <w:rPr>
                <w:rFonts w:ascii="Arial" w:eastAsia="Times New Roman" w:hAnsi="Arial" w:cs="Arial"/>
                <w:sz w:val="16"/>
                <w:szCs w:val="16"/>
              </w:rPr>
              <w:t>(29.810,03)</w:t>
            </w:r>
          </w:p>
        </w:tc>
      </w:tr>
      <w:tr w:rsidR="000E2E9F" w14:paraId="411A265D" w14:textId="77777777" w:rsidTr="000E2E9F">
        <w:tc>
          <w:tcPr>
            <w:tcW w:w="119" w:type="pct"/>
            <w:tcBorders>
              <w:top w:val="outset" w:sz="6" w:space="0" w:color="auto"/>
              <w:left w:val="outset" w:sz="6" w:space="0" w:color="auto"/>
              <w:bottom w:val="outset" w:sz="6" w:space="0" w:color="auto"/>
              <w:right w:val="outset" w:sz="6" w:space="0" w:color="auto"/>
            </w:tcBorders>
            <w:vAlign w:val="center"/>
            <w:hideMark/>
          </w:tcPr>
          <w:p w14:paraId="4D46D470" w14:textId="77777777" w:rsidR="000E2E9F" w:rsidRDefault="000E2E9F" w:rsidP="00F113BD">
            <w:pPr>
              <w:spacing w:after="0"/>
              <w:jc w:val="center"/>
              <w:rPr>
                <w:rFonts w:eastAsia="Times New Roman"/>
              </w:rPr>
            </w:pPr>
            <w:r>
              <w:rPr>
                <w:rFonts w:ascii="Arial" w:eastAsia="Times New Roman" w:hAnsi="Arial" w:cs="Arial"/>
                <w:sz w:val="16"/>
                <w:szCs w:val="16"/>
              </w:rPr>
              <w:t>F</w:t>
            </w:r>
          </w:p>
        </w:tc>
        <w:tc>
          <w:tcPr>
            <w:tcW w:w="359" w:type="pct"/>
            <w:tcBorders>
              <w:top w:val="outset" w:sz="6" w:space="0" w:color="auto"/>
              <w:left w:val="outset" w:sz="6" w:space="0" w:color="auto"/>
              <w:bottom w:val="outset" w:sz="6" w:space="0" w:color="auto"/>
              <w:right w:val="outset" w:sz="6" w:space="0" w:color="auto"/>
            </w:tcBorders>
            <w:vAlign w:val="center"/>
            <w:hideMark/>
          </w:tcPr>
          <w:p w14:paraId="3150A39B" w14:textId="77777777" w:rsidR="000E2E9F" w:rsidRDefault="000E2E9F" w:rsidP="00F113BD">
            <w:pPr>
              <w:spacing w:after="0"/>
              <w:jc w:val="center"/>
              <w:rPr>
                <w:rFonts w:eastAsia="Times New Roman"/>
              </w:rPr>
            </w:pPr>
            <w:r>
              <w:rPr>
                <w:rFonts w:ascii="Arial" w:eastAsia="Times New Roman" w:hAnsi="Arial" w:cs="Arial"/>
                <w:sz w:val="16"/>
                <w:szCs w:val="16"/>
              </w:rPr>
              <w:t>50%</w:t>
            </w:r>
          </w:p>
        </w:tc>
        <w:tc>
          <w:tcPr>
            <w:tcW w:w="563" w:type="pct"/>
            <w:tcBorders>
              <w:top w:val="outset" w:sz="6" w:space="0" w:color="auto"/>
              <w:left w:val="outset" w:sz="6" w:space="0" w:color="auto"/>
              <w:bottom w:val="outset" w:sz="6" w:space="0" w:color="auto"/>
              <w:right w:val="outset" w:sz="6" w:space="0" w:color="auto"/>
            </w:tcBorders>
            <w:vAlign w:val="center"/>
            <w:hideMark/>
          </w:tcPr>
          <w:p w14:paraId="7DA13FC1" w14:textId="77777777" w:rsidR="000E2E9F" w:rsidRDefault="000E2E9F" w:rsidP="00F113BD">
            <w:pPr>
              <w:spacing w:after="0"/>
              <w:jc w:val="center"/>
              <w:rPr>
                <w:rFonts w:eastAsia="Times New Roman"/>
              </w:rPr>
            </w:pPr>
            <w:r>
              <w:rPr>
                <w:rFonts w:ascii="Arial" w:eastAsia="Times New Roman" w:hAnsi="Arial" w:cs="Arial"/>
                <w:sz w:val="16"/>
                <w:szCs w:val="16"/>
              </w:rPr>
              <w:t>Normal</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37EBC7A" w14:textId="77777777" w:rsidR="000E2E9F" w:rsidRDefault="000E2E9F" w:rsidP="00F113BD">
            <w:pPr>
              <w:spacing w:after="0"/>
              <w:jc w:val="right"/>
              <w:rPr>
                <w:rFonts w:eastAsia="Times New Roman"/>
              </w:rPr>
            </w:pPr>
            <w:r>
              <w:rPr>
                <w:rFonts w:ascii="Arial" w:eastAsia="Times New Roman" w:hAnsi="Arial" w:cs="Arial"/>
                <w:sz w:val="16"/>
                <w:szCs w:val="16"/>
              </w:rPr>
              <w:t>32.914,40</w:t>
            </w:r>
          </w:p>
        </w:tc>
        <w:tc>
          <w:tcPr>
            <w:tcW w:w="703" w:type="pct"/>
            <w:tcBorders>
              <w:top w:val="outset" w:sz="6" w:space="0" w:color="auto"/>
              <w:left w:val="outset" w:sz="6" w:space="0" w:color="auto"/>
              <w:bottom w:val="outset" w:sz="6" w:space="0" w:color="auto"/>
              <w:right w:val="outset" w:sz="6" w:space="0" w:color="auto"/>
            </w:tcBorders>
            <w:vAlign w:val="center"/>
            <w:hideMark/>
          </w:tcPr>
          <w:p w14:paraId="0B0BE66B" w14:textId="77777777" w:rsidR="000E2E9F" w:rsidRDefault="000E2E9F" w:rsidP="00F113BD">
            <w:pPr>
              <w:spacing w:after="0"/>
              <w:jc w:val="right"/>
              <w:rPr>
                <w:rFonts w:eastAsia="Times New Roman"/>
              </w:rPr>
            </w:pPr>
            <w:r>
              <w:rPr>
                <w:rFonts w:ascii="Arial" w:eastAsia="Times New Roman" w:hAnsi="Arial" w:cs="Arial"/>
                <w:sz w:val="16"/>
                <w:szCs w:val="16"/>
              </w:rPr>
              <w:t>32.914,40</w:t>
            </w:r>
          </w:p>
        </w:tc>
        <w:tc>
          <w:tcPr>
            <w:tcW w:w="703" w:type="pct"/>
            <w:tcBorders>
              <w:top w:val="outset" w:sz="6" w:space="0" w:color="auto"/>
              <w:left w:val="outset" w:sz="6" w:space="0" w:color="auto"/>
              <w:bottom w:val="outset" w:sz="6" w:space="0" w:color="auto"/>
              <w:right w:val="outset" w:sz="6" w:space="0" w:color="auto"/>
            </w:tcBorders>
            <w:vAlign w:val="center"/>
            <w:hideMark/>
          </w:tcPr>
          <w:p w14:paraId="629355CF" w14:textId="77777777" w:rsidR="000E2E9F" w:rsidRDefault="000E2E9F" w:rsidP="00F113BD">
            <w:pPr>
              <w:spacing w:after="0"/>
              <w:jc w:val="right"/>
              <w:rPr>
                <w:rFonts w:eastAsia="Times New Roman"/>
              </w:rPr>
            </w:pPr>
            <w:r>
              <w:rPr>
                <w:rFonts w:ascii="Arial" w:eastAsia="Times New Roman" w:hAnsi="Arial" w:cs="Arial"/>
                <w:sz w:val="16"/>
                <w:szCs w:val="16"/>
              </w:rPr>
              <w:t>(16.457,20)</w:t>
            </w:r>
          </w:p>
        </w:tc>
        <w:tc>
          <w:tcPr>
            <w:tcW w:w="703" w:type="pct"/>
            <w:tcBorders>
              <w:top w:val="outset" w:sz="6" w:space="0" w:color="auto"/>
              <w:left w:val="outset" w:sz="6" w:space="0" w:color="auto"/>
              <w:bottom w:val="outset" w:sz="6" w:space="0" w:color="auto"/>
              <w:right w:val="outset" w:sz="6" w:space="0" w:color="auto"/>
            </w:tcBorders>
            <w:vAlign w:val="center"/>
            <w:hideMark/>
          </w:tcPr>
          <w:p w14:paraId="494FD637" w14:textId="77777777" w:rsidR="000E2E9F" w:rsidRDefault="000E2E9F" w:rsidP="00F113BD">
            <w:pPr>
              <w:spacing w:after="0"/>
              <w:jc w:val="center"/>
              <w:rPr>
                <w:rFonts w:eastAsia="Times New Roman"/>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16D9EB07" w14:textId="77777777" w:rsidR="000E2E9F" w:rsidRDefault="000E2E9F" w:rsidP="00F113BD">
            <w:pPr>
              <w:spacing w:after="0"/>
              <w:jc w:val="center"/>
              <w:rPr>
                <w:rFonts w:eastAsia="Times New Roman"/>
              </w:rPr>
            </w:pPr>
            <w:r>
              <w:rPr>
                <w:rFonts w:ascii="Arial" w:eastAsia="Times New Roman" w:hAnsi="Arial" w:cs="Arial"/>
                <w:sz w:val="16"/>
                <w:szCs w:val="16"/>
              </w:rPr>
              <w:t>-</w:t>
            </w:r>
          </w:p>
        </w:tc>
      </w:tr>
      <w:tr w:rsidR="000E2E9F" w14:paraId="59829F92" w14:textId="77777777" w:rsidTr="000E2E9F">
        <w:tc>
          <w:tcPr>
            <w:tcW w:w="119" w:type="pct"/>
            <w:tcBorders>
              <w:top w:val="outset" w:sz="6" w:space="0" w:color="auto"/>
              <w:left w:val="outset" w:sz="6" w:space="0" w:color="auto"/>
              <w:bottom w:val="outset" w:sz="6" w:space="0" w:color="auto"/>
              <w:right w:val="outset" w:sz="6" w:space="0" w:color="auto"/>
            </w:tcBorders>
            <w:vAlign w:val="center"/>
            <w:hideMark/>
          </w:tcPr>
          <w:p w14:paraId="233E87D1" w14:textId="77777777" w:rsidR="000E2E9F" w:rsidRDefault="000E2E9F" w:rsidP="00F113BD">
            <w:pPr>
              <w:spacing w:after="0"/>
              <w:jc w:val="center"/>
              <w:rPr>
                <w:rFonts w:eastAsia="Times New Roman"/>
              </w:rPr>
            </w:pPr>
            <w:r>
              <w:rPr>
                <w:rFonts w:ascii="Arial" w:eastAsia="Times New Roman" w:hAnsi="Arial" w:cs="Arial"/>
                <w:sz w:val="16"/>
                <w:szCs w:val="16"/>
              </w:rPr>
              <w:t>F</w:t>
            </w:r>
          </w:p>
        </w:tc>
        <w:tc>
          <w:tcPr>
            <w:tcW w:w="359" w:type="pct"/>
            <w:tcBorders>
              <w:top w:val="outset" w:sz="6" w:space="0" w:color="auto"/>
              <w:left w:val="outset" w:sz="6" w:space="0" w:color="auto"/>
              <w:bottom w:val="outset" w:sz="6" w:space="0" w:color="auto"/>
              <w:right w:val="outset" w:sz="6" w:space="0" w:color="auto"/>
            </w:tcBorders>
            <w:vAlign w:val="center"/>
            <w:hideMark/>
          </w:tcPr>
          <w:p w14:paraId="30ED2216" w14:textId="77777777" w:rsidR="000E2E9F" w:rsidRDefault="000E2E9F" w:rsidP="00F113BD">
            <w:pPr>
              <w:spacing w:after="0"/>
              <w:jc w:val="center"/>
              <w:rPr>
                <w:rFonts w:eastAsia="Times New Roman"/>
              </w:rPr>
            </w:pPr>
            <w:r>
              <w:rPr>
                <w:rFonts w:ascii="Arial" w:eastAsia="Times New Roman" w:hAnsi="Arial" w:cs="Arial"/>
                <w:sz w:val="16"/>
                <w:szCs w:val="16"/>
              </w:rPr>
              <w:t>50%</w:t>
            </w:r>
          </w:p>
        </w:tc>
        <w:tc>
          <w:tcPr>
            <w:tcW w:w="563" w:type="pct"/>
            <w:tcBorders>
              <w:top w:val="outset" w:sz="6" w:space="0" w:color="auto"/>
              <w:left w:val="outset" w:sz="6" w:space="0" w:color="auto"/>
              <w:bottom w:val="outset" w:sz="6" w:space="0" w:color="auto"/>
              <w:right w:val="outset" w:sz="6" w:space="0" w:color="auto"/>
            </w:tcBorders>
            <w:vAlign w:val="center"/>
            <w:hideMark/>
          </w:tcPr>
          <w:p w14:paraId="14417292" w14:textId="77777777" w:rsidR="000E2E9F" w:rsidRDefault="000E2E9F" w:rsidP="00F113BD">
            <w:pPr>
              <w:spacing w:after="0"/>
              <w:jc w:val="center"/>
              <w:rPr>
                <w:rFonts w:eastAsia="Times New Roman"/>
              </w:rPr>
            </w:pPr>
            <w:r>
              <w:rPr>
                <w:rFonts w:ascii="Arial" w:eastAsia="Times New Roman" w:hAnsi="Arial" w:cs="Arial"/>
                <w:sz w:val="16"/>
                <w:szCs w:val="16"/>
              </w:rPr>
              <w:t>Vencidas</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2DDF577" w14:textId="77777777" w:rsidR="000E2E9F" w:rsidRDefault="000E2E9F" w:rsidP="00F113BD">
            <w:pPr>
              <w:spacing w:after="0"/>
              <w:jc w:val="right"/>
              <w:rPr>
                <w:rFonts w:eastAsia="Times New Roman"/>
              </w:rPr>
            </w:pPr>
            <w:r>
              <w:rPr>
                <w:rFonts w:ascii="Arial" w:eastAsia="Times New Roman" w:hAnsi="Arial" w:cs="Arial"/>
                <w:sz w:val="16"/>
                <w:szCs w:val="16"/>
              </w:rPr>
              <w:t>45.927,73</w:t>
            </w:r>
          </w:p>
        </w:tc>
        <w:tc>
          <w:tcPr>
            <w:tcW w:w="703" w:type="pct"/>
            <w:tcBorders>
              <w:top w:val="outset" w:sz="6" w:space="0" w:color="auto"/>
              <w:left w:val="outset" w:sz="6" w:space="0" w:color="auto"/>
              <w:bottom w:val="outset" w:sz="6" w:space="0" w:color="auto"/>
              <w:right w:val="outset" w:sz="6" w:space="0" w:color="auto"/>
            </w:tcBorders>
            <w:vAlign w:val="center"/>
            <w:hideMark/>
          </w:tcPr>
          <w:p w14:paraId="4C277648" w14:textId="77777777" w:rsidR="000E2E9F" w:rsidRDefault="000E2E9F" w:rsidP="00F113BD">
            <w:pPr>
              <w:spacing w:after="0"/>
              <w:jc w:val="right"/>
              <w:rPr>
                <w:rFonts w:eastAsia="Times New Roman"/>
              </w:rPr>
            </w:pPr>
            <w:r>
              <w:rPr>
                <w:rFonts w:ascii="Arial" w:eastAsia="Times New Roman" w:hAnsi="Arial" w:cs="Arial"/>
                <w:sz w:val="16"/>
                <w:szCs w:val="16"/>
              </w:rPr>
              <w:t>45.927,73</w:t>
            </w:r>
          </w:p>
        </w:tc>
        <w:tc>
          <w:tcPr>
            <w:tcW w:w="703" w:type="pct"/>
            <w:tcBorders>
              <w:top w:val="outset" w:sz="6" w:space="0" w:color="auto"/>
              <w:left w:val="outset" w:sz="6" w:space="0" w:color="auto"/>
              <w:bottom w:val="outset" w:sz="6" w:space="0" w:color="auto"/>
              <w:right w:val="outset" w:sz="6" w:space="0" w:color="auto"/>
            </w:tcBorders>
            <w:vAlign w:val="center"/>
            <w:hideMark/>
          </w:tcPr>
          <w:p w14:paraId="20F176E8" w14:textId="77777777" w:rsidR="000E2E9F" w:rsidRDefault="000E2E9F" w:rsidP="00F113BD">
            <w:pPr>
              <w:spacing w:after="0"/>
              <w:jc w:val="right"/>
              <w:rPr>
                <w:rFonts w:eastAsia="Times New Roman"/>
              </w:rPr>
            </w:pPr>
            <w:r>
              <w:rPr>
                <w:rFonts w:ascii="Arial" w:eastAsia="Times New Roman" w:hAnsi="Arial" w:cs="Arial"/>
                <w:sz w:val="16"/>
                <w:szCs w:val="16"/>
              </w:rPr>
              <w:t>(22.963,87)</w:t>
            </w:r>
          </w:p>
        </w:tc>
        <w:tc>
          <w:tcPr>
            <w:tcW w:w="703" w:type="pct"/>
            <w:tcBorders>
              <w:top w:val="outset" w:sz="6" w:space="0" w:color="auto"/>
              <w:left w:val="outset" w:sz="6" w:space="0" w:color="auto"/>
              <w:bottom w:val="outset" w:sz="6" w:space="0" w:color="auto"/>
              <w:right w:val="outset" w:sz="6" w:space="0" w:color="auto"/>
            </w:tcBorders>
            <w:vAlign w:val="center"/>
            <w:hideMark/>
          </w:tcPr>
          <w:p w14:paraId="6A6B7872" w14:textId="77777777" w:rsidR="000E2E9F" w:rsidRDefault="000E2E9F" w:rsidP="00F113BD">
            <w:pPr>
              <w:spacing w:after="0"/>
              <w:jc w:val="right"/>
              <w:rPr>
                <w:rFonts w:eastAsia="Times New Roman"/>
              </w:rPr>
            </w:pPr>
            <w:r>
              <w:rPr>
                <w:rFonts w:ascii="Arial" w:eastAsia="Times New Roman" w:hAnsi="Arial" w:cs="Arial"/>
                <w:sz w:val="16"/>
                <w:szCs w:val="16"/>
              </w:rPr>
              <w:t>78.552,98</w:t>
            </w:r>
          </w:p>
        </w:tc>
        <w:tc>
          <w:tcPr>
            <w:tcW w:w="703" w:type="pct"/>
            <w:tcBorders>
              <w:top w:val="outset" w:sz="6" w:space="0" w:color="auto"/>
              <w:left w:val="outset" w:sz="6" w:space="0" w:color="auto"/>
              <w:bottom w:val="outset" w:sz="6" w:space="0" w:color="auto"/>
              <w:right w:val="outset" w:sz="6" w:space="0" w:color="auto"/>
            </w:tcBorders>
            <w:vAlign w:val="center"/>
            <w:hideMark/>
          </w:tcPr>
          <w:p w14:paraId="37F8A945" w14:textId="77777777" w:rsidR="000E2E9F" w:rsidRDefault="000E2E9F" w:rsidP="00F113BD">
            <w:pPr>
              <w:spacing w:after="0"/>
              <w:jc w:val="right"/>
              <w:rPr>
                <w:rFonts w:eastAsia="Times New Roman"/>
              </w:rPr>
            </w:pPr>
            <w:r>
              <w:rPr>
                <w:rFonts w:ascii="Arial" w:eastAsia="Times New Roman" w:hAnsi="Arial" w:cs="Arial"/>
                <w:sz w:val="16"/>
                <w:szCs w:val="16"/>
              </w:rPr>
              <w:t>(39.276,49)</w:t>
            </w:r>
          </w:p>
        </w:tc>
      </w:tr>
      <w:tr w:rsidR="000E2E9F" w14:paraId="787FA691" w14:textId="77777777" w:rsidTr="000E2E9F">
        <w:tc>
          <w:tcPr>
            <w:tcW w:w="119" w:type="pct"/>
            <w:tcBorders>
              <w:top w:val="outset" w:sz="6" w:space="0" w:color="auto"/>
              <w:left w:val="outset" w:sz="6" w:space="0" w:color="auto"/>
              <w:bottom w:val="outset" w:sz="6" w:space="0" w:color="auto"/>
              <w:right w:val="outset" w:sz="6" w:space="0" w:color="auto"/>
            </w:tcBorders>
            <w:vAlign w:val="center"/>
            <w:hideMark/>
          </w:tcPr>
          <w:p w14:paraId="03308646" w14:textId="77777777" w:rsidR="000E2E9F" w:rsidRDefault="000E2E9F" w:rsidP="00F113BD">
            <w:pPr>
              <w:spacing w:after="0"/>
              <w:jc w:val="center"/>
              <w:rPr>
                <w:rFonts w:eastAsia="Times New Roman"/>
              </w:rPr>
            </w:pPr>
            <w:r>
              <w:rPr>
                <w:rFonts w:ascii="Arial" w:eastAsia="Times New Roman" w:hAnsi="Arial" w:cs="Arial"/>
                <w:sz w:val="16"/>
                <w:szCs w:val="16"/>
              </w:rPr>
              <w:t>G</w:t>
            </w:r>
          </w:p>
        </w:tc>
        <w:tc>
          <w:tcPr>
            <w:tcW w:w="359" w:type="pct"/>
            <w:tcBorders>
              <w:top w:val="outset" w:sz="6" w:space="0" w:color="auto"/>
              <w:left w:val="outset" w:sz="6" w:space="0" w:color="auto"/>
              <w:bottom w:val="outset" w:sz="6" w:space="0" w:color="auto"/>
              <w:right w:val="outset" w:sz="6" w:space="0" w:color="auto"/>
            </w:tcBorders>
            <w:vAlign w:val="center"/>
            <w:hideMark/>
          </w:tcPr>
          <w:p w14:paraId="779BE3EC" w14:textId="77777777" w:rsidR="000E2E9F" w:rsidRDefault="000E2E9F" w:rsidP="00F113BD">
            <w:pPr>
              <w:spacing w:after="0"/>
              <w:jc w:val="center"/>
              <w:rPr>
                <w:rFonts w:eastAsia="Times New Roman"/>
              </w:rPr>
            </w:pPr>
            <w:r>
              <w:rPr>
                <w:rFonts w:ascii="Arial" w:eastAsia="Times New Roman" w:hAnsi="Arial" w:cs="Arial"/>
                <w:sz w:val="16"/>
                <w:szCs w:val="16"/>
              </w:rPr>
              <w:t>70%</w:t>
            </w:r>
          </w:p>
        </w:tc>
        <w:tc>
          <w:tcPr>
            <w:tcW w:w="563" w:type="pct"/>
            <w:tcBorders>
              <w:top w:val="outset" w:sz="6" w:space="0" w:color="auto"/>
              <w:left w:val="outset" w:sz="6" w:space="0" w:color="auto"/>
              <w:bottom w:val="outset" w:sz="6" w:space="0" w:color="auto"/>
              <w:right w:val="outset" w:sz="6" w:space="0" w:color="auto"/>
            </w:tcBorders>
            <w:vAlign w:val="center"/>
            <w:hideMark/>
          </w:tcPr>
          <w:p w14:paraId="3283D34B" w14:textId="77777777" w:rsidR="000E2E9F" w:rsidRDefault="000E2E9F" w:rsidP="00F113BD">
            <w:pPr>
              <w:spacing w:after="0"/>
              <w:jc w:val="center"/>
              <w:rPr>
                <w:rFonts w:eastAsia="Times New Roman"/>
              </w:rPr>
            </w:pPr>
            <w:r>
              <w:rPr>
                <w:rFonts w:ascii="Arial" w:eastAsia="Times New Roman" w:hAnsi="Arial" w:cs="Arial"/>
                <w:sz w:val="16"/>
                <w:szCs w:val="16"/>
              </w:rPr>
              <w:t>Vencidas</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C014C03" w14:textId="77777777" w:rsidR="000E2E9F" w:rsidRDefault="000E2E9F" w:rsidP="00F113BD">
            <w:pPr>
              <w:spacing w:after="0"/>
              <w:jc w:val="right"/>
              <w:rPr>
                <w:rFonts w:eastAsia="Times New Roman"/>
              </w:rPr>
            </w:pPr>
            <w:r>
              <w:rPr>
                <w:rFonts w:ascii="Arial" w:eastAsia="Times New Roman" w:hAnsi="Arial" w:cs="Arial"/>
                <w:sz w:val="16"/>
                <w:szCs w:val="16"/>
              </w:rPr>
              <w:t>94.812,60</w:t>
            </w:r>
          </w:p>
        </w:tc>
        <w:tc>
          <w:tcPr>
            <w:tcW w:w="703" w:type="pct"/>
            <w:tcBorders>
              <w:top w:val="outset" w:sz="6" w:space="0" w:color="auto"/>
              <w:left w:val="outset" w:sz="6" w:space="0" w:color="auto"/>
              <w:bottom w:val="outset" w:sz="6" w:space="0" w:color="auto"/>
              <w:right w:val="outset" w:sz="6" w:space="0" w:color="auto"/>
            </w:tcBorders>
            <w:vAlign w:val="center"/>
            <w:hideMark/>
          </w:tcPr>
          <w:p w14:paraId="615362D7" w14:textId="77777777" w:rsidR="000E2E9F" w:rsidRDefault="000E2E9F" w:rsidP="00F113BD">
            <w:pPr>
              <w:spacing w:after="0"/>
              <w:jc w:val="right"/>
              <w:rPr>
                <w:rFonts w:eastAsia="Times New Roman"/>
              </w:rPr>
            </w:pPr>
            <w:r>
              <w:rPr>
                <w:rFonts w:ascii="Arial" w:eastAsia="Times New Roman" w:hAnsi="Arial" w:cs="Arial"/>
                <w:sz w:val="16"/>
                <w:szCs w:val="16"/>
              </w:rPr>
              <w:t>94.812,60</w:t>
            </w:r>
          </w:p>
        </w:tc>
        <w:tc>
          <w:tcPr>
            <w:tcW w:w="703" w:type="pct"/>
            <w:tcBorders>
              <w:top w:val="outset" w:sz="6" w:space="0" w:color="auto"/>
              <w:left w:val="outset" w:sz="6" w:space="0" w:color="auto"/>
              <w:bottom w:val="outset" w:sz="6" w:space="0" w:color="auto"/>
              <w:right w:val="outset" w:sz="6" w:space="0" w:color="auto"/>
            </w:tcBorders>
            <w:vAlign w:val="center"/>
            <w:hideMark/>
          </w:tcPr>
          <w:p w14:paraId="5703BD67" w14:textId="0D56B25B" w:rsidR="000E2E9F" w:rsidRDefault="000E2E9F" w:rsidP="00F113BD">
            <w:pPr>
              <w:spacing w:after="0"/>
              <w:jc w:val="right"/>
              <w:rPr>
                <w:rFonts w:eastAsia="Times New Roman"/>
              </w:rPr>
            </w:pPr>
            <w:r>
              <w:rPr>
                <w:rFonts w:ascii="Arial" w:eastAsia="Times New Roman" w:hAnsi="Arial" w:cs="Arial"/>
                <w:sz w:val="16"/>
                <w:szCs w:val="16"/>
              </w:rPr>
              <w:t>(66.368,8</w:t>
            </w:r>
            <w:r w:rsidR="00EB357C">
              <w:rPr>
                <w:rFonts w:ascii="Arial" w:eastAsia="Times New Roman" w:hAnsi="Arial" w:cs="Arial"/>
                <w:sz w:val="16"/>
                <w:szCs w:val="16"/>
              </w:rPr>
              <w:t>6</w:t>
            </w: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4585F674" w14:textId="77777777" w:rsidR="000E2E9F" w:rsidRDefault="000E2E9F" w:rsidP="00F113BD">
            <w:pPr>
              <w:spacing w:after="0"/>
              <w:jc w:val="right"/>
              <w:rPr>
                <w:rFonts w:eastAsia="Times New Roman"/>
              </w:rPr>
            </w:pPr>
            <w:r>
              <w:rPr>
                <w:rFonts w:ascii="Arial" w:eastAsia="Times New Roman" w:hAnsi="Arial" w:cs="Arial"/>
                <w:sz w:val="16"/>
                <w:szCs w:val="16"/>
              </w:rPr>
              <w:t>52.476,27</w:t>
            </w:r>
          </w:p>
        </w:tc>
        <w:tc>
          <w:tcPr>
            <w:tcW w:w="703" w:type="pct"/>
            <w:tcBorders>
              <w:top w:val="outset" w:sz="6" w:space="0" w:color="auto"/>
              <w:left w:val="outset" w:sz="6" w:space="0" w:color="auto"/>
              <w:bottom w:val="outset" w:sz="6" w:space="0" w:color="auto"/>
              <w:right w:val="outset" w:sz="6" w:space="0" w:color="auto"/>
            </w:tcBorders>
            <w:vAlign w:val="center"/>
            <w:hideMark/>
          </w:tcPr>
          <w:p w14:paraId="3F4C9868" w14:textId="30E44D98" w:rsidR="000E2E9F" w:rsidRDefault="000E2E9F" w:rsidP="00F113BD">
            <w:pPr>
              <w:spacing w:after="0"/>
              <w:jc w:val="right"/>
              <w:rPr>
                <w:rFonts w:eastAsia="Times New Roman"/>
              </w:rPr>
            </w:pPr>
            <w:r>
              <w:rPr>
                <w:rFonts w:ascii="Arial" w:eastAsia="Times New Roman" w:hAnsi="Arial" w:cs="Arial"/>
                <w:sz w:val="16"/>
                <w:szCs w:val="16"/>
              </w:rPr>
              <w:t>(36.733,</w:t>
            </w:r>
            <w:r w:rsidR="00EB357C">
              <w:rPr>
                <w:rFonts w:ascii="Arial" w:eastAsia="Times New Roman" w:hAnsi="Arial" w:cs="Arial"/>
                <w:sz w:val="16"/>
                <w:szCs w:val="16"/>
              </w:rPr>
              <w:t>44</w:t>
            </w:r>
            <w:r>
              <w:rPr>
                <w:rFonts w:ascii="Arial" w:eastAsia="Times New Roman" w:hAnsi="Arial" w:cs="Arial"/>
                <w:sz w:val="16"/>
                <w:szCs w:val="16"/>
              </w:rPr>
              <w:t>)</w:t>
            </w:r>
          </w:p>
        </w:tc>
      </w:tr>
      <w:tr w:rsidR="000E2E9F" w14:paraId="2FD92624" w14:textId="77777777" w:rsidTr="000E2E9F">
        <w:tc>
          <w:tcPr>
            <w:tcW w:w="119" w:type="pct"/>
            <w:tcBorders>
              <w:top w:val="outset" w:sz="6" w:space="0" w:color="auto"/>
              <w:left w:val="outset" w:sz="6" w:space="0" w:color="auto"/>
              <w:bottom w:val="outset" w:sz="6" w:space="0" w:color="auto"/>
              <w:right w:val="outset" w:sz="6" w:space="0" w:color="auto"/>
            </w:tcBorders>
            <w:vAlign w:val="center"/>
            <w:hideMark/>
          </w:tcPr>
          <w:p w14:paraId="5426123E" w14:textId="77777777" w:rsidR="000E2E9F" w:rsidRDefault="000E2E9F" w:rsidP="00F113BD">
            <w:pPr>
              <w:spacing w:after="0"/>
              <w:jc w:val="center"/>
              <w:rPr>
                <w:rFonts w:eastAsia="Times New Roman"/>
              </w:rPr>
            </w:pPr>
            <w:r>
              <w:rPr>
                <w:rFonts w:ascii="Arial" w:eastAsia="Times New Roman" w:hAnsi="Arial" w:cs="Arial"/>
                <w:sz w:val="16"/>
                <w:szCs w:val="16"/>
              </w:rPr>
              <w:t>H</w:t>
            </w:r>
          </w:p>
        </w:tc>
        <w:tc>
          <w:tcPr>
            <w:tcW w:w="359" w:type="pct"/>
            <w:tcBorders>
              <w:top w:val="outset" w:sz="6" w:space="0" w:color="auto"/>
              <w:left w:val="outset" w:sz="6" w:space="0" w:color="auto"/>
              <w:bottom w:val="outset" w:sz="6" w:space="0" w:color="auto"/>
              <w:right w:val="outset" w:sz="6" w:space="0" w:color="auto"/>
            </w:tcBorders>
            <w:vAlign w:val="center"/>
            <w:hideMark/>
          </w:tcPr>
          <w:p w14:paraId="5396C13E" w14:textId="77777777" w:rsidR="000E2E9F" w:rsidRDefault="000E2E9F" w:rsidP="00F113BD">
            <w:pPr>
              <w:spacing w:after="0"/>
              <w:jc w:val="center"/>
              <w:rPr>
                <w:rFonts w:eastAsia="Times New Roman"/>
              </w:rPr>
            </w:pPr>
            <w:r>
              <w:rPr>
                <w:rFonts w:ascii="Arial" w:eastAsia="Times New Roman" w:hAnsi="Arial" w:cs="Arial"/>
                <w:sz w:val="16"/>
                <w:szCs w:val="16"/>
              </w:rPr>
              <w:t>100%</w:t>
            </w:r>
          </w:p>
        </w:tc>
        <w:tc>
          <w:tcPr>
            <w:tcW w:w="563" w:type="pct"/>
            <w:tcBorders>
              <w:top w:val="outset" w:sz="6" w:space="0" w:color="auto"/>
              <w:left w:val="outset" w:sz="6" w:space="0" w:color="auto"/>
              <w:bottom w:val="outset" w:sz="6" w:space="0" w:color="auto"/>
              <w:right w:val="outset" w:sz="6" w:space="0" w:color="auto"/>
            </w:tcBorders>
            <w:vAlign w:val="center"/>
            <w:hideMark/>
          </w:tcPr>
          <w:p w14:paraId="598056DE" w14:textId="77777777" w:rsidR="000E2E9F" w:rsidRDefault="000E2E9F" w:rsidP="00F113BD">
            <w:pPr>
              <w:spacing w:after="0"/>
              <w:jc w:val="center"/>
              <w:rPr>
                <w:rFonts w:eastAsia="Times New Roman"/>
              </w:rPr>
            </w:pPr>
            <w:r>
              <w:rPr>
                <w:rFonts w:ascii="Arial" w:eastAsia="Times New Roman" w:hAnsi="Arial" w:cs="Arial"/>
                <w:sz w:val="16"/>
                <w:szCs w:val="16"/>
              </w:rPr>
              <w:t>Normal</w:t>
            </w:r>
          </w:p>
        </w:tc>
        <w:tc>
          <w:tcPr>
            <w:tcW w:w="1148" w:type="pct"/>
            <w:tcBorders>
              <w:top w:val="outset" w:sz="6" w:space="0" w:color="auto"/>
              <w:left w:val="outset" w:sz="6" w:space="0" w:color="auto"/>
              <w:bottom w:val="outset" w:sz="6" w:space="0" w:color="auto"/>
              <w:right w:val="outset" w:sz="6" w:space="0" w:color="auto"/>
            </w:tcBorders>
            <w:vAlign w:val="center"/>
            <w:hideMark/>
          </w:tcPr>
          <w:p w14:paraId="021D3E85" w14:textId="77777777" w:rsidR="000E2E9F" w:rsidRDefault="000E2E9F" w:rsidP="00F113BD">
            <w:pPr>
              <w:spacing w:after="0"/>
              <w:jc w:val="right"/>
              <w:rPr>
                <w:rFonts w:eastAsia="Times New Roman"/>
              </w:rPr>
            </w:pPr>
            <w:r>
              <w:rPr>
                <w:rFonts w:ascii="Arial" w:eastAsia="Times New Roman" w:hAnsi="Arial" w:cs="Arial"/>
                <w:sz w:val="16"/>
                <w:szCs w:val="16"/>
              </w:rPr>
              <w:t>5.225,76</w:t>
            </w:r>
          </w:p>
        </w:tc>
        <w:tc>
          <w:tcPr>
            <w:tcW w:w="703" w:type="pct"/>
            <w:tcBorders>
              <w:top w:val="outset" w:sz="6" w:space="0" w:color="auto"/>
              <w:left w:val="outset" w:sz="6" w:space="0" w:color="auto"/>
              <w:bottom w:val="outset" w:sz="6" w:space="0" w:color="auto"/>
              <w:right w:val="outset" w:sz="6" w:space="0" w:color="auto"/>
            </w:tcBorders>
            <w:vAlign w:val="center"/>
            <w:hideMark/>
          </w:tcPr>
          <w:p w14:paraId="4CC78987" w14:textId="77777777" w:rsidR="000E2E9F" w:rsidRDefault="000E2E9F" w:rsidP="00F113BD">
            <w:pPr>
              <w:spacing w:after="0"/>
              <w:jc w:val="right"/>
              <w:rPr>
                <w:rFonts w:eastAsia="Times New Roman"/>
              </w:rPr>
            </w:pPr>
            <w:r>
              <w:rPr>
                <w:rFonts w:ascii="Arial" w:eastAsia="Times New Roman" w:hAnsi="Arial" w:cs="Arial"/>
                <w:sz w:val="16"/>
                <w:szCs w:val="16"/>
              </w:rPr>
              <w:t>5.225,76</w:t>
            </w:r>
          </w:p>
        </w:tc>
        <w:tc>
          <w:tcPr>
            <w:tcW w:w="703" w:type="pct"/>
            <w:tcBorders>
              <w:top w:val="outset" w:sz="6" w:space="0" w:color="auto"/>
              <w:left w:val="outset" w:sz="6" w:space="0" w:color="auto"/>
              <w:bottom w:val="outset" w:sz="6" w:space="0" w:color="auto"/>
              <w:right w:val="outset" w:sz="6" w:space="0" w:color="auto"/>
            </w:tcBorders>
            <w:vAlign w:val="center"/>
            <w:hideMark/>
          </w:tcPr>
          <w:p w14:paraId="1DF3DD42" w14:textId="77777777" w:rsidR="000E2E9F" w:rsidRDefault="000E2E9F" w:rsidP="00F113BD">
            <w:pPr>
              <w:spacing w:after="0"/>
              <w:jc w:val="right"/>
              <w:rPr>
                <w:rFonts w:eastAsia="Times New Roman"/>
              </w:rPr>
            </w:pPr>
            <w:r>
              <w:rPr>
                <w:rFonts w:ascii="Arial" w:eastAsia="Times New Roman" w:hAnsi="Arial" w:cs="Arial"/>
                <w:sz w:val="16"/>
                <w:szCs w:val="16"/>
              </w:rPr>
              <w:t>(5.225,76)</w:t>
            </w:r>
          </w:p>
        </w:tc>
        <w:tc>
          <w:tcPr>
            <w:tcW w:w="703" w:type="pct"/>
            <w:tcBorders>
              <w:top w:val="outset" w:sz="6" w:space="0" w:color="auto"/>
              <w:left w:val="outset" w:sz="6" w:space="0" w:color="auto"/>
              <w:bottom w:val="outset" w:sz="6" w:space="0" w:color="auto"/>
              <w:right w:val="outset" w:sz="6" w:space="0" w:color="auto"/>
            </w:tcBorders>
            <w:vAlign w:val="center"/>
            <w:hideMark/>
          </w:tcPr>
          <w:p w14:paraId="2F7BDEF4" w14:textId="77777777" w:rsidR="000E2E9F" w:rsidRDefault="000E2E9F" w:rsidP="00F113BD">
            <w:pPr>
              <w:spacing w:after="0"/>
              <w:jc w:val="center"/>
              <w:rPr>
                <w:rFonts w:eastAsia="Times New Roman"/>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3E251666" w14:textId="77777777" w:rsidR="000E2E9F" w:rsidRDefault="000E2E9F" w:rsidP="00F113BD">
            <w:pPr>
              <w:spacing w:after="0"/>
              <w:jc w:val="center"/>
              <w:rPr>
                <w:rFonts w:eastAsia="Times New Roman"/>
              </w:rPr>
            </w:pPr>
            <w:r>
              <w:rPr>
                <w:rFonts w:ascii="Arial" w:eastAsia="Times New Roman" w:hAnsi="Arial" w:cs="Arial"/>
                <w:sz w:val="16"/>
                <w:szCs w:val="16"/>
              </w:rPr>
              <w:t>-</w:t>
            </w:r>
          </w:p>
        </w:tc>
      </w:tr>
      <w:tr w:rsidR="000E2E9F" w14:paraId="6BEE09F3" w14:textId="77777777" w:rsidTr="000E2E9F">
        <w:tc>
          <w:tcPr>
            <w:tcW w:w="119" w:type="pct"/>
            <w:tcBorders>
              <w:top w:val="outset" w:sz="6" w:space="0" w:color="auto"/>
              <w:left w:val="outset" w:sz="6" w:space="0" w:color="auto"/>
              <w:bottom w:val="outset" w:sz="6" w:space="0" w:color="auto"/>
              <w:right w:val="outset" w:sz="6" w:space="0" w:color="auto"/>
            </w:tcBorders>
            <w:vAlign w:val="center"/>
            <w:hideMark/>
          </w:tcPr>
          <w:p w14:paraId="3898F9D0" w14:textId="77777777" w:rsidR="000E2E9F" w:rsidRDefault="000E2E9F" w:rsidP="00F113BD">
            <w:pPr>
              <w:spacing w:after="0"/>
              <w:jc w:val="center"/>
              <w:rPr>
                <w:rFonts w:eastAsia="Times New Roman"/>
              </w:rPr>
            </w:pPr>
            <w:r>
              <w:rPr>
                <w:rFonts w:ascii="Arial" w:eastAsia="Times New Roman" w:hAnsi="Arial" w:cs="Arial"/>
                <w:sz w:val="16"/>
                <w:szCs w:val="16"/>
              </w:rPr>
              <w:t>H</w:t>
            </w:r>
          </w:p>
        </w:tc>
        <w:tc>
          <w:tcPr>
            <w:tcW w:w="359" w:type="pct"/>
            <w:tcBorders>
              <w:top w:val="outset" w:sz="6" w:space="0" w:color="auto"/>
              <w:left w:val="outset" w:sz="6" w:space="0" w:color="auto"/>
              <w:bottom w:val="outset" w:sz="6" w:space="0" w:color="auto"/>
              <w:right w:val="outset" w:sz="6" w:space="0" w:color="auto"/>
            </w:tcBorders>
            <w:vAlign w:val="center"/>
            <w:hideMark/>
          </w:tcPr>
          <w:p w14:paraId="5FB46605" w14:textId="77777777" w:rsidR="000E2E9F" w:rsidRDefault="000E2E9F" w:rsidP="00F113BD">
            <w:pPr>
              <w:spacing w:after="0"/>
              <w:jc w:val="center"/>
              <w:rPr>
                <w:rFonts w:eastAsia="Times New Roman"/>
              </w:rPr>
            </w:pPr>
            <w:r>
              <w:rPr>
                <w:rFonts w:ascii="Arial" w:eastAsia="Times New Roman" w:hAnsi="Arial" w:cs="Arial"/>
                <w:sz w:val="16"/>
                <w:szCs w:val="16"/>
              </w:rPr>
              <w:t>100%</w:t>
            </w:r>
          </w:p>
        </w:tc>
        <w:tc>
          <w:tcPr>
            <w:tcW w:w="563" w:type="pct"/>
            <w:tcBorders>
              <w:top w:val="outset" w:sz="6" w:space="0" w:color="auto"/>
              <w:left w:val="outset" w:sz="6" w:space="0" w:color="auto"/>
              <w:bottom w:val="outset" w:sz="6" w:space="0" w:color="auto"/>
              <w:right w:val="outset" w:sz="6" w:space="0" w:color="auto"/>
            </w:tcBorders>
            <w:vAlign w:val="center"/>
            <w:hideMark/>
          </w:tcPr>
          <w:p w14:paraId="26BAB645" w14:textId="77777777" w:rsidR="000E2E9F" w:rsidRDefault="000E2E9F" w:rsidP="00F113BD">
            <w:pPr>
              <w:spacing w:after="0"/>
              <w:jc w:val="center"/>
              <w:rPr>
                <w:rFonts w:eastAsia="Times New Roman"/>
              </w:rPr>
            </w:pPr>
            <w:r>
              <w:rPr>
                <w:rFonts w:ascii="Arial" w:eastAsia="Times New Roman" w:hAnsi="Arial" w:cs="Arial"/>
                <w:sz w:val="16"/>
                <w:szCs w:val="16"/>
              </w:rPr>
              <w:t>Vencidas</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A23E075" w14:textId="77777777" w:rsidR="000E2E9F" w:rsidRDefault="000E2E9F" w:rsidP="00F113BD">
            <w:pPr>
              <w:spacing w:after="0"/>
              <w:jc w:val="right"/>
              <w:rPr>
                <w:rFonts w:eastAsia="Times New Roman"/>
              </w:rPr>
            </w:pPr>
            <w:r>
              <w:rPr>
                <w:rFonts w:ascii="Arial" w:eastAsia="Times New Roman" w:hAnsi="Arial" w:cs="Arial"/>
                <w:sz w:val="16"/>
                <w:szCs w:val="16"/>
              </w:rPr>
              <w:t>396.595,18</w:t>
            </w:r>
          </w:p>
        </w:tc>
        <w:tc>
          <w:tcPr>
            <w:tcW w:w="703" w:type="pct"/>
            <w:tcBorders>
              <w:top w:val="outset" w:sz="6" w:space="0" w:color="auto"/>
              <w:left w:val="outset" w:sz="6" w:space="0" w:color="auto"/>
              <w:bottom w:val="outset" w:sz="6" w:space="0" w:color="auto"/>
              <w:right w:val="outset" w:sz="6" w:space="0" w:color="auto"/>
            </w:tcBorders>
            <w:vAlign w:val="center"/>
            <w:hideMark/>
          </w:tcPr>
          <w:p w14:paraId="6DAFD3CE" w14:textId="77777777" w:rsidR="000E2E9F" w:rsidRDefault="000E2E9F" w:rsidP="00F113BD">
            <w:pPr>
              <w:spacing w:after="0"/>
              <w:jc w:val="right"/>
              <w:rPr>
                <w:rFonts w:eastAsia="Times New Roman"/>
              </w:rPr>
            </w:pPr>
            <w:r>
              <w:rPr>
                <w:rFonts w:ascii="Arial" w:eastAsia="Times New Roman" w:hAnsi="Arial" w:cs="Arial"/>
                <w:sz w:val="16"/>
                <w:szCs w:val="16"/>
              </w:rPr>
              <w:t>396.595,18</w:t>
            </w:r>
          </w:p>
        </w:tc>
        <w:tc>
          <w:tcPr>
            <w:tcW w:w="703" w:type="pct"/>
            <w:tcBorders>
              <w:top w:val="outset" w:sz="6" w:space="0" w:color="auto"/>
              <w:left w:val="outset" w:sz="6" w:space="0" w:color="auto"/>
              <w:bottom w:val="outset" w:sz="6" w:space="0" w:color="auto"/>
              <w:right w:val="outset" w:sz="6" w:space="0" w:color="auto"/>
            </w:tcBorders>
            <w:vAlign w:val="center"/>
            <w:hideMark/>
          </w:tcPr>
          <w:p w14:paraId="0D5D8272" w14:textId="77777777" w:rsidR="000E2E9F" w:rsidRDefault="000E2E9F" w:rsidP="00F113BD">
            <w:pPr>
              <w:spacing w:after="0"/>
              <w:jc w:val="right"/>
              <w:rPr>
                <w:rFonts w:eastAsia="Times New Roman"/>
              </w:rPr>
            </w:pPr>
            <w:r>
              <w:rPr>
                <w:rFonts w:ascii="Arial" w:eastAsia="Times New Roman" w:hAnsi="Arial" w:cs="Arial"/>
                <w:sz w:val="16"/>
                <w:szCs w:val="16"/>
              </w:rPr>
              <w:t>(396.595,18)</w:t>
            </w:r>
          </w:p>
        </w:tc>
        <w:tc>
          <w:tcPr>
            <w:tcW w:w="703" w:type="pct"/>
            <w:tcBorders>
              <w:top w:val="outset" w:sz="6" w:space="0" w:color="auto"/>
              <w:left w:val="outset" w:sz="6" w:space="0" w:color="auto"/>
              <w:bottom w:val="outset" w:sz="6" w:space="0" w:color="auto"/>
              <w:right w:val="outset" w:sz="6" w:space="0" w:color="auto"/>
            </w:tcBorders>
            <w:vAlign w:val="center"/>
            <w:hideMark/>
          </w:tcPr>
          <w:p w14:paraId="57620596" w14:textId="77777777" w:rsidR="000E2E9F" w:rsidRDefault="000E2E9F" w:rsidP="00F113BD">
            <w:pPr>
              <w:spacing w:after="0"/>
              <w:jc w:val="right"/>
              <w:rPr>
                <w:rFonts w:eastAsia="Times New Roman"/>
              </w:rPr>
            </w:pPr>
            <w:r>
              <w:rPr>
                <w:rFonts w:ascii="Arial" w:eastAsia="Times New Roman" w:hAnsi="Arial" w:cs="Arial"/>
                <w:sz w:val="16"/>
                <w:szCs w:val="16"/>
              </w:rPr>
              <w:t>210.205,11</w:t>
            </w:r>
          </w:p>
        </w:tc>
        <w:tc>
          <w:tcPr>
            <w:tcW w:w="703" w:type="pct"/>
            <w:tcBorders>
              <w:top w:val="outset" w:sz="6" w:space="0" w:color="auto"/>
              <w:left w:val="outset" w:sz="6" w:space="0" w:color="auto"/>
              <w:bottom w:val="outset" w:sz="6" w:space="0" w:color="auto"/>
              <w:right w:val="outset" w:sz="6" w:space="0" w:color="auto"/>
            </w:tcBorders>
            <w:vAlign w:val="center"/>
            <w:hideMark/>
          </w:tcPr>
          <w:p w14:paraId="667D31D8" w14:textId="77777777" w:rsidR="000E2E9F" w:rsidRDefault="000E2E9F" w:rsidP="00F113BD">
            <w:pPr>
              <w:spacing w:after="0"/>
              <w:jc w:val="right"/>
              <w:rPr>
                <w:rFonts w:eastAsia="Times New Roman"/>
              </w:rPr>
            </w:pPr>
            <w:r>
              <w:rPr>
                <w:rFonts w:ascii="Arial" w:eastAsia="Times New Roman" w:hAnsi="Arial" w:cs="Arial"/>
                <w:sz w:val="16"/>
                <w:szCs w:val="16"/>
              </w:rPr>
              <w:t>(210.205,11)</w:t>
            </w:r>
          </w:p>
        </w:tc>
      </w:tr>
      <w:tr w:rsidR="000E2E9F" w14:paraId="305E59BA" w14:textId="77777777" w:rsidTr="000E2E9F">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2600B15B" w14:textId="77777777" w:rsidR="000E2E9F" w:rsidRDefault="000E2E9F" w:rsidP="00F113BD">
            <w:pPr>
              <w:spacing w:after="0"/>
              <w:jc w:val="center"/>
              <w:rPr>
                <w:rFonts w:eastAsia="Times New Roman"/>
              </w:rPr>
            </w:pPr>
            <w:r>
              <w:rPr>
                <w:rFonts w:ascii="Arial" w:eastAsia="Times New Roman" w:hAnsi="Arial" w:cs="Arial"/>
                <w:b/>
                <w:bCs/>
                <w:sz w:val="16"/>
                <w:szCs w:val="16"/>
              </w:rPr>
              <w:t>Total Normal</w:t>
            </w:r>
          </w:p>
        </w:tc>
        <w:tc>
          <w:tcPr>
            <w:tcW w:w="1148" w:type="pct"/>
            <w:tcBorders>
              <w:top w:val="outset" w:sz="6" w:space="0" w:color="auto"/>
              <w:left w:val="outset" w:sz="6" w:space="0" w:color="auto"/>
              <w:bottom w:val="outset" w:sz="6" w:space="0" w:color="auto"/>
              <w:right w:val="outset" w:sz="6" w:space="0" w:color="auto"/>
            </w:tcBorders>
            <w:vAlign w:val="center"/>
            <w:hideMark/>
          </w:tcPr>
          <w:p w14:paraId="46917AB7" w14:textId="77777777" w:rsidR="000E2E9F" w:rsidRDefault="000E2E9F" w:rsidP="00F113BD">
            <w:pPr>
              <w:spacing w:after="0"/>
              <w:jc w:val="right"/>
              <w:rPr>
                <w:rFonts w:eastAsia="Times New Roman"/>
              </w:rPr>
            </w:pPr>
            <w:r>
              <w:rPr>
                <w:rFonts w:ascii="Arial" w:eastAsia="Times New Roman" w:hAnsi="Arial" w:cs="Arial"/>
                <w:b/>
                <w:bCs/>
                <w:sz w:val="16"/>
                <w:szCs w:val="16"/>
              </w:rPr>
              <w:t>117.874,21</w:t>
            </w:r>
          </w:p>
        </w:tc>
        <w:tc>
          <w:tcPr>
            <w:tcW w:w="703" w:type="pct"/>
            <w:tcBorders>
              <w:top w:val="outset" w:sz="6" w:space="0" w:color="auto"/>
              <w:left w:val="outset" w:sz="6" w:space="0" w:color="auto"/>
              <w:bottom w:val="outset" w:sz="6" w:space="0" w:color="auto"/>
              <w:right w:val="outset" w:sz="6" w:space="0" w:color="auto"/>
            </w:tcBorders>
            <w:vAlign w:val="center"/>
            <w:hideMark/>
          </w:tcPr>
          <w:p w14:paraId="48131757" w14:textId="77777777" w:rsidR="000E2E9F" w:rsidRDefault="000E2E9F" w:rsidP="00F113BD">
            <w:pPr>
              <w:spacing w:after="0"/>
              <w:jc w:val="right"/>
              <w:rPr>
                <w:rFonts w:eastAsia="Times New Roman"/>
              </w:rPr>
            </w:pPr>
            <w:r>
              <w:rPr>
                <w:rFonts w:ascii="Arial" w:eastAsia="Times New Roman" w:hAnsi="Arial" w:cs="Arial"/>
                <w:b/>
                <w:bCs/>
                <w:sz w:val="16"/>
                <w:szCs w:val="16"/>
              </w:rPr>
              <w:t>117.874,21</w:t>
            </w:r>
          </w:p>
        </w:tc>
        <w:tc>
          <w:tcPr>
            <w:tcW w:w="703" w:type="pct"/>
            <w:tcBorders>
              <w:top w:val="outset" w:sz="6" w:space="0" w:color="auto"/>
              <w:left w:val="outset" w:sz="6" w:space="0" w:color="auto"/>
              <w:bottom w:val="outset" w:sz="6" w:space="0" w:color="auto"/>
              <w:right w:val="outset" w:sz="6" w:space="0" w:color="auto"/>
            </w:tcBorders>
            <w:vAlign w:val="center"/>
            <w:hideMark/>
          </w:tcPr>
          <w:p w14:paraId="1F73468A" w14:textId="77777777" w:rsidR="000E2E9F" w:rsidRDefault="000E2E9F" w:rsidP="00F113BD">
            <w:pPr>
              <w:spacing w:after="0"/>
              <w:jc w:val="right"/>
              <w:rPr>
                <w:rFonts w:eastAsia="Times New Roman"/>
              </w:rPr>
            </w:pPr>
            <w:r>
              <w:rPr>
                <w:rFonts w:ascii="Arial" w:eastAsia="Times New Roman" w:hAnsi="Arial" w:cs="Arial"/>
                <w:b/>
                <w:bCs/>
                <w:sz w:val="16"/>
                <w:szCs w:val="16"/>
              </w:rPr>
              <w:t>(45.603,18)</w:t>
            </w:r>
          </w:p>
        </w:tc>
        <w:tc>
          <w:tcPr>
            <w:tcW w:w="703" w:type="pct"/>
            <w:tcBorders>
              <w:top w:val="outset" w:sz="6" w:space="0" w:color="auto"/>
              <w:left w:val="outset" w:sz="6" w:space="0" w:color="auto"/>
              <w:bottom w:val="outset" w:sz="6" w:space="0" w:color="auto"/>
              <w:right w:val="outset" w:sz="6" w:space="0" w:color="auto"/>
            </w:tcBorders>
            <w:vAlign w:val="center"/>
            <w:hideMark/>
          </w:tcPr>
          <w:p w14:paraId="2465DF1F" w14:textId="77777777" w:rsidR="000E2E9F" w:rsidRDefault="000E2E9F" w:rsidP="00F113BD">
            <w:pPr>
              <w:spacing w:after="0"/>
              <w:jc w:val="center"/>
              <w:rPr>
                <w:rFonts w:eastAsia="Times New Roman"/>
              </w:rPr>
            </w:pPr>
            <w:r>
              <w:rPr>
                <w:rFonts w:ascii="Arial" w:eastAsia="Times New Roman" w:hAnsi="Arial" w:cs="Arial"/>
                <w:b/>
                <w:bCs/>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732D6A92" w14:textId="77777777" w:rsidR="000E2E9F" w:rsidRDefault="000E2E9F" w:rsidP="00F113BD">
            <w:pPr>
              <w:spacing w:after="0"/>
              <w:jc w:val="center"/>
              <w:rPr>
                <w:rFonts w:eastAsia="Times New Roman"/>
              </w:rPr>
            </w:pPr>
            <w:r>
              <w:rPr>
                <w:rFonts w:ascii="Arial" w:eastAsia="Times New Roman" w:hAnsi="Arial" w:cs="Arial"/>
                <w:b/>
                <w:bCs/>
                <w:sz w:val="16"/>
                <w:szCs w:val="16"/>
              </w:rPr>
              <w:t>-</w:t>
            </w:r>
          </w:p>
        </w:tc>
      </w:tr>
      <w:tr w:rsidR="000E2E9F" w14:paraId="0D440972" w14:textId="77777777" w:rsidTr="000E2E9F">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2EA5039F" w14:textId="77777777" w:rsidR="000E2E9F" w:rsidRDefault="000E2E9F" w:rsidP="00F113BD">
            <w:pPr>
              <w:spacing w:after="0"/>
              <w:jc w:val="center"/>
              <w:rPr>
                <w:rFonts w:eastAsia="Times New Roman"/>
              </w:rPr>
            </w:pPr>
            <w:r>
              <w:rPr>
                <w:rFonts w:ascii="Arial" w:eastAsia="Times New Roman" w:hAnsi="Arial" w:cs="Arial"/>
                <w:b/>
                <w:bCs/>
                <w:sz w:val="16"/>
                <w:szCs w:val="16"/>
              </w:rPr>
              <w:t>Total Vencidos</w:t>
            </w:r>
          </w:p>
        </w:tc>
        <w:tc>
          <w:tcPr>
            <w:tcW w:w="1148" w:type="pct"/>
            <w:tcBorders>
              <w:top w:val="outset" w:sz="6" w:space="0" w:color="auto"/>
              <w:left w:val="outset" w:sz="6" w:space="0" w:color="auto"/>
              <w:bottom w:val="outset" w:sz="6" w:space="0" w:color="auto"/>
              <w:right w:val="outset" w:sz="6" w:space="0" w:color="auto"/>
            </w:tcBorders>
            <w:vAlign w:val="center"/>
            <w:hideMark/>
          </w:tcPr>
          <w:p w14:paraId="16CBD210" w14:textId="77777777" w:rsidR="000E2E9F" w:rsidRDefault="000E2E9F" w:rsidP="00F113BD">
            <w:pPr>
              <w:spacing w:after="0"/>
              <w:jc w:val="right"/>
              <w:rPr>
                <w:rFonts w:eastAsia="Times New Roman"/>
              </w:rPr>
            </w:pPr>
            <w:r>
              <w:rPr>
                <w:rFonts w:ascii="Arial" w:eastAsia="Times New Roman" w:hAnsi="Arial" w:cs="Arial"/>
                <w:b/>
                <w:bCs/>
                <w:sz w:val="16"/>
                <w:szCs w:val="16"/>
              </w:rPr>
              <w:t>614.281,58</w:t>
            </w:r>
          </w:p>
        </w:tc>
        <w:tc>
          <w:tcPr>
            <w:tcW w:w="703" w:type="pct"/>
            <w:tcBorders>
              <w:top w:val="outset" w:sz="6" w:space="0" w:color="auto"/>
              <w:left w:val="outset" w:sz="6" w:space="0" w:color="auto"/>
              <w:bottom w:val="outset" w:sz="6" w:space="0" w:color="auto"/>
              <w:right w:val="outset" w:sz="6" w:space="0" w:color="auto"/>
            </w:tcBorders>
            <w:vAlign w:val="center"/>
            <w:hideMark/>
          </w:tcPr>
          <w:p w14:paraId="3D082C49" w14:textId="77777777" w:rsidR="000E2E9F" w:rsidRDefault="000E2E9F" w:rsidP="00F113BD">
            <w:pPr>
              <w:spacing w:after="0"/>
              <w:jc w:val="right"/>
              <w:rPr>
                <w:rFonts w:eastAsia="Times New Roman"/>
              </w:rPr>
            </w:pPr>
            <w:r>
              <w:rPr>
                <w:rFonts w:ascii="Arial" w:eastAsia="Times New Roman" w:hAnsi="Arial" w:cs="Arial"/>
                <w:b/>
                <w:bCs/>
                <w:sz w:val="16"/>
                <w:szCs w:val="16"/>
              </w:rPr>
              <w:t>614.281,58</w:t>
            </w:r>
          </w:p>
        </w:tc>
        <w:tc>
          <w:tcPr>
            <w:tcW w:w="703" w:type="pct"/>
            <w:tcBorders>
              <w:top w:val="outset" w:sz="6" w:space="0" w:color="auto"/>
              <w:left w:val="outset" w:sz="6" w:space="0" w:color="auto"/>
              <w:bottom w:val="outset" w:sz="6" w:space="0" w:color="auto"/>
              <w:right w:val="outset" w:sz="6" w:space="0" w:color="auto"/>
            </w:tcBorders>
            <w:vAlign w:val="center"/>
            <w:hideMark/>
          </w:tcPr>
          <w:p w14:paraId="7D97C5AE" w14:textId="7149706E" w:rsidR="000E2E9F" w:rsidRDefault="000E2E9F" w:rsidP="00F113BD">
            <w:pPr>
              <w:spacing w:after="0"/>
              <w:jc w:val="right"/>
              <w:rPr>
                <w:rFonts w:eastAsia="Times New Roman"/>
              </w:rPr>
            </w:pPr>
            <w:r>
              <w:rPr>
                <w:rFonts w:ascii="Arial" w:eastAsia="Times New Roman" w:hAnsi="Arial" w:cs="Arial"/>
                <w:b/>
                <w:bCs/>
                <w:sz w:val="16"/>
                <w:szCs w:val="16"/>
              </w:rPr>
              <w:t>(509.011,</w:t>
            </w:r>
            <w:r w:rsidR="00EB357C">
              <w:rPr>
                <w:rFonts w:ascii="Arial" w:eastAsia="Times New Roman" w:hAnsi="Arial" w:cs="Arial"/>
                <w:b/>
                <w:bCs/>
                <w:sz w:val="16"/>
                <w:szCs w:val="16"/>
              </w:rPr>
              <w:t>73</w:t>
            </w:r>
            <w:r>
              <w:rPr>
                <w:rFonts w:ascii="Arial" w:eastAsia="Times New Roman" w:hAnsi="Arial" w:cs="Arial"/>
                <w:b/>
                <w:bCs/>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4287AA42" w14:textId="77777777" w:rsidR="000E2E9F" w:rsidRDefault="000E2E9F" w:rsidP="00F113BD">
            <w:pPr>
              <w:spacing w:after="0"/>
              <w:jc w:val="right"/>
              <w:rPr>
                <w:rFonts w:eastAsia="Times New Roman"/>
              </w:rPr>
            </w:pPr>
            <w:r>
              <w:rPr>
                <w:rFonts w:ascii="Arial" w:eastAsia="Times New Roman" w:hAnsi="Arial" w:cs="Arial"/>
                <w:b/>
                <w:bCs/>
                <w:sz w:val="16"/>
                <w:szCs w:val="16"/>
              </w:rPr>
              <w:t>440.601,11</w:t>
            </w:r>
          </w:p>
        </w:tc>
        <w:tc>
          <w:tcPr>
            <w:tcW w:w="703" w:type="pct"/>
            <w:tcBorders>
              <w:top w:val="outset" w:sz="6" w:space="0" w:color="auto"/>
              <w:left w:val="outset" w:sz="6" w:space="0" w:color="auto"/>
              <w:bottom w:val="outset" w:sz="6" w:space="0" w:color="auto"/>
              <w:right w:val="outset" w:sz="6" w:space="0" w:color="auto"/>
            </w:tcBorders>
            <w:vAlign w:val="center"/>
            <w:hideMark/>
          </w:tcPr>
          <w:p w14:paraId="699B7E2A" w14:textId="24701E14" w:rsidR="000E2E9F" w:rsidRDefault="000E2E9F" w:rsidP="00F113BD">
            <w:pPr>
              <w:spacing w:after="0"/>
              <w:jc w:val="right"/>
              <w:rPr>
                <w:rFonts w:eastAsia="Times New Roman"/>
              </w:rPr>
            </w:pPr>
            <w:r>
              <w:rPr>
                <w:rFonts w:ascii="Arial" w:eastAsia="Times New Roman" w:hAnsi="Arial" w:cs="Arial"/>
                <w:b/>
                <w:bCs/>
                <w:sz w:val="16"/>
                <w:szCs w:val="16"/>
              </w:rPr>
              <w:t>(316.025,0</w:t>
            </w:r>
            <w:r w:rsidR="00EB357C">
              <w:rPr>
                <w:rFonts w:ascii="Arial" w:eastAsia="Times New Roman" w:hAnsi="Arial" w:cs="Arial"/>
                <w:b/>
                <w:bCs/>
                <w:sz w:val="16"/>
                <w:szCs w:val="16"/>
              </w:rPr>
              <w:t>7</w:t>
            </w:r>
            <w:r>
              <w:rPr>
                <w:rFonts w:ascii="Arial" w:eastAsia="Times New Roman" w:hAnsi="Arial" w:cs="Arial"/>
                <w:b/>
                <w:bCs/>
                <w:sz w:val="16"/>
                <w:szCs w:val="16"/>
              </w:rPr>
              <w:t>)</w:t>
            </w:r>
          </w:p>
        </w:tc>
      </w:tr>
      <w:tr w:rsidR="000E2E9F" w14:paraId="346F544C" w14:textId="77777777" w:rsidTr="000E2E9F">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062B1B61" w14:textId="77777777" w:rsidR="000E2E9F" w:rsidRDefault="000E2E9F" w:rsidP="00F113BD">
            <w:pPr>
              <w:spacing w:after="0"/>
              <w:jc w:val="center"/>
              <w:rPr>
                <w:rFonts w:eastAsia="Times New Roman"/>
              </w:rPr>
            </w:pPr>
            <w:r>
              <w:rPr>
                <w:rFonts w:ascii="Arial" w:eastAsia="Times New Roman" w:hAnsi="Arial" w:cs="Arial"/>
                <w:b/>
                <w:bCs/>
                <w:sz w:val="16"/>
                <w:szCs w:val="16"/>
              </w:rPr>
              <w:t>Total Geral</w:t>
            </w:r>
          </w:p>
        </w:tc>
        <w:tc>
          <w:tcPr>
            <w:tcW w:w="1148" w:type="pct"/>
            <w:tcBorders>
              <w:top w:val="outset" w:sz="6" w:space="0" w:color="auto"/>
              <w:left w:val="outset" w:sz="6" w:space="0" w:color="auto"/>
              <w:bottom w:val="outset" w:sz="6" w:space="0" w:color="auto"/>
              <w:right w:val="outset" w:sz="6" w:space="0" w:color="auto"/>
            </w:tcBorders>
            <w:vAlign w:val="center"/>
            <w:hideMark/>
          </w:tcPr>
          <w:p w14:paraId="51823D35" w14:textId="77777777" w:rsidR="000E2E9F" w:rsidRDefault="000E2E9F" w:rsidP="00F113BD">
            <w:pPr>
              <w:spacing w:after="0"/>
              <w:jc w:val="right"/>
              <w:rPr>
                <w:rFonts w:eastAsia="Times New Roman"/>
              </w:rPr>
            </w:pPr>
            <w:r>
              <w:rPr>
                <w:rFonts w:ascii="Arial" w:eastAsia="Times New Roman" w:hAnsi="Arial" w:cs="Arial"/>
                <w:b/>
                <w:bCs/>
                <w:sz w:val="16"/>
                <w:szCs w:val="16"/>
              </w:rPr>
              <w:t>732.155,79</w:t>
            </w:r>
          </w:p>
        </w:tc>
        <w:tc>
          <w:tcPr>
            <w:tcW w:w="703" w:type="pct"/>
            <w:tcBorders>
              <w:top w:val="outset" w:sz="6" w:space="0" w:color="auto"/>
              <w:left w:val="outset" w:sz="6" w:space="0" w:color="auto"/>
              <w:bottom w:val="outset" w:sz="6" w:space="0" w:color="auto"/>
              <w:right w:val="outset" w:sz="6" w:space="0" w:color="auto"/>
            </w:tcBorders>
            <w:vAlign w:val="center"/>
            <w:hideMark/>
          </w:tcPr>
          <w:p w14:paraId="33A8D042" w14:textId="77777777" w:rsidR="000E2E9F" w:rsidRDefault="000E2E9F" w:rsidP="00F113BD">
            <w:pPr>
              <w:spacing w:after="0"/>
              <w:jc w:val="right"/>
              <w:rPr>
                <w:rFonts w:eastAsia="Times New Roman"/>
              </w:rPr>
            </w:pPr>
            <w:r>
              <w:rPr>
                <w:rFonts w:ascii="Arial" w:eastAsia="Times New Roman" w:hAnsi="Arial" w:cs="Arial"/>
                <w:b/>
                <w:bCs/>
                <w:sz w:val="16"/>
                <w:szCs w:val="16"/>
              </w:rPr>
              <w:t>732.155,79</w:t>
            </w:r>
          </w:p>
        </w:tc>
        <w:tc>
          <w:tcPr>
            <w:tcW w:w="703" w:type="pct"/>
            <w:tcBorders>
              <w:top w:val="outset" w:sz="6" w:space="0" w:color="auto"/>
              <w:left w:val="outset" w:sz="6" w:space="0" w:color="auto"/>
              <w:bottom w:val="outset" w:sz="6" w:space="0" w:color="auto"/>
              <w:right w:val="outset" w:sz="6" w:space="0" w:color="auto"/>
            </w:tcBorders>
            <w:vAlign w:val="center"/>
            <w:hideMark/>
          </w:tcPr>
          <w:p w14:paraId="6E4A4C3D" w14:textId="06465EBE" w:rsidR="000E2E9F" w:rsidRDefault="000E2E9F" w:rsidP="00F113BD">
            <w:pPr>
              <w:spacing w:after="0"/>
              <w:jc w:val="right"/>
              <w:rPr>
                <w:rFonts w:eastAsia="Times New Roman"/>
              </w:rPr>
            </w:pPr>
            <w:r>
              <w:rPr>
                <w:rFonts w:ascii="Arial" w:eastAsia="Times New Roman" w:hAnsi="Arial" w:cs="Arial"/>
                <w:b/>
                <w:bCs/>
                <w:sz w:val="16"/>
                <w:szCs w:val="16"/>
              </w:rPr>
              <w:t>(554.614,</w:t>
            </w:r>
            <w:r w:rsidR="00EB357C">
              <w:rPr>
                <w:rFonts w:ascii="Arial" w:eastAsia="Times New Roman" w:hAnsi="Arial" w:cs="Arial"/>
                <w:b/>
                <w:bCs/>
                <w:sz w:val="16"/>
                <w:szCs w:val="16"/>
              </w:rPr>
              <w:t>91</w:t>
            </w:r>
            <w:r>
              <w:rPr>
                <w:rFonts w:ascii="Arial" w:eastAsia="Times New Roman" w:hAnsi="Arial" w:cs="Arial"/>
                <w:b/>
                <w:bCs/>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335BBF51" w14:textId="77777777" w:rsidR="000E2E9F" w:rsidRDefault="000E2E9F" w:rsidP="00F113BD">
            <w:pPr>
              <w:spacing w:after="0"/>
              <w:jc w:val="right"/>
              <w:rPr>
                <w:rFonts w:eastAsia="Times New Roman"/>
              </w:rPr>
            </w:pPr>
            <w:r>
              <w:rPr>
                <w:rFonts w:ascii="Arial" w:eastAsia="Times New Roman" w:hAnsi="Arial" w:cs="Arial"/>
                <w:b/>
                <w:bCs/>
                <w:sz w:val="16"/>
                <w:szCs w:val="16"/>
              </w:rPr>
              <w:t>440.601,11</w:t>
            </w:r>
          </w:p>
        </w:tc>
        <w:tc>
          <w:tcPr>
            <w:tcW w:w="703" w:type="pct"/>
            <w:tcBorders>
              <w:top w:val="outset" w:sz="6" w:space="0" w:color="auto"/>
              <w:left w:val="outset" w:sz="6" w:space="0" w:color="auto"/>
              <w:bottom w:val="outset" w:sz="6" w:space="0" w:color="auto"/>
              <w:right w:val="outset" w:sz="6" w:space="0" w:color="auto"/>
            </w:tcBorders>
            <w:vAlign w:val="center"/>
            <w:hideMark/>
          </w:tcPr>
          <w:p w14:paraId="61C74357" w14:textId="0D0E2DCE" w:rsidR="000E2E9F" w:rsidRDefault="000E2E9F" w:rsidP="00F113BD">
            <w:pPr>
              <w:spacing w:after="0"/>
              <w:jc w:val="right"/>
              <w:rPr>
                <w:rFonts w:eastAsia="Times New Roman"/>
              </w:rPr>
            </w:pPr>
            <w:r>
              <w:rPr>
                <w:rFonts w:ascii="Arial" w:eastAsia="Times New Roman" w:hAnsi="Arial" w:cs="Arial"/>
                <w:b/>
                <w:bCs/>
                <w:sz w:val="16"/>
                <w:szCs w:val="16"/>
              </w:rPr>
              <w:t>(316.025,0</w:t>
            </w:r>
            <w:r w:rsidR="00EB357C">
              <w:rPr>
                <w:rFonts w:ascii="Arial" w:eastAsia="Times New Roman" w:hAnsi="Arial" w:cs="Arial"/>
                <w:b/>
                <w:bCs/>
                <w:sz w:val="16"/>
                <w:szCs w:val="16"/>
              </w:rPr>
              <w:t>7</w:t>
            </w:r>
            <w:r>
              <w:rPr>
                <w:rFonts w:ascii="Arial" w:eastAsia="Times New Roman" w:hAnsi="Arial" w:cs="Arial"/>
                <w:b/>
                <w:bCs/>
                <w:sz w:val="16"/>
                <w:szCs w:val="16"/>
              </w:rPr>
              <w:t>)</w:t>
            </w:r>
          </w:p>
        </w:tc>
      </w:tr>
      <w:tr w:rsidR="000E2E9F" w14:paraId="60BE1E5B" w14:textId="77777777" w:rsidTr="000E2E9F">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2E01AC78" w14:textId="77777777" w:rsidR="000E2E9F" w:rsidRDefault="000E2E9F" w:rsidP="00F113BD">
            <w:pPr>
              <w:spacing w:after="0"/>
              <w:jc w:val="center"/>
              <w:rPr>
                <w:rFonts w:eastAsia="Times New Roman"/>
              </w:rPr>
            </w:pPr>
            <w:r>
              <w:rPr>
                <w:rFonts w:ascii="Arial" w:eastAsia="Times New Roman" w:hAnsi="Arial" w:cs="Arial"/>
                <w:b/>
                <w:bCs/>
                <w:sz w:val="16"/>
                <w:szCs w:val="16"/>
              </w:rPr>
              <w:t>Provisões</w:t>
            </w:r>
          </w:p>
        </w:tc>
        <w:tc>
          <w:tcPr>
            <w:tcW w:w="1148" w:type="pct"/>
            <w:tcBorders>
              <w:top w:val="outset" w:sz="6" w:space="0" w:color="auto"/>
              <w:left w:val="outset" w:sz="6" w:space="0" w:color="auto"/>
              <w:bottom w:val="outset" w:sz="6" w:space="0" w:color="auto"/>
              <w:right w:val="outset" w:sz="6" w:space="0" w:color="auto"/>
            </w:tcBorders>
            <w:vAlign w:val="center"/>
            <w:hideMark/>
          </w:tcPr>
          <w:p w14:paraId="37D085C8" w14:textId="4CCAC87D" w:rsidR="000E2E9F" w:rsidRDefault="000E2E9F" w:rsidP="00F113BD">
            <w:pPr>
              <w:spacing w:after="0"/>
              <w:jc w:val="right"/>
              <w:rPr>
                <w:rFonts w:eastAsia="Times New Roman"/>
              </w:rPr>
            </w:pPr>
            <w:r>
              <w:rPr>
                <w:rFonts w:ascii="Arial" w:eastAsia="Times New Roman" w:hAnsi="Arial" w:cs="Arial"/>
                <w:b/>
                <w:bCs/>
                <w:sz w:val="16"/>
                <w:szCs w:val="16"/>
              </w:rPr>
              <w:t>(554.614,</w:t>
            </w:r>
            <w:r w:rsidR="00EB357C">
              <w:rPr>
                <w:rFonts w:ascii="Arial" w:eastAsia="Times New Roman" w:hAnsi="Arial" w:cs="Arial"/>
                <w:b/>
                <w:bCs/>
                <w:sz w:val="16"/>
                <w:szCs w:val="16"/>
              </w:rPr>
              <w:t>91</w:t>
            </w:r>
            <w:r>
              <w:rPr>
                <w:rFonts w:ascii="Arial" w:eastAsia="Times New Roman" w:hAnsi="Arial" w:cs="Arial"/>
                <w:b/>
                <w:bCs/>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548CF344" w14:textId="2D20341F" w:rsidR="000E2E9F" w:rsidRDefault="000E2E9F" w:rsidP="00F113BD">
            <w:pPr>
              <w:spacing w:after="0"/>
              <w:jc w:val="right"/>
              <w:rPr>
                <w:rFonts w:eastAsia="Times New Roman"/>
              </w:rPr>
            </w:pPr>
            <w:r>
              <w:rPr>
                <w:rFonts w:ascii="Arial" w:eastAsia="Times New Roman" w:hAnsi="Arial" w:cs="Arial"/>
                <w:b/>
                <w:bCs/>
                <w:sz w:val="16"/>
                <w:szCs w:val="16"/>
              </w:rPr>
              <w:t>(554.614,</w:t>
            </w:r>
            <w:r w:rsidR="00EB357C">
              <w:rPr>
                <w:rFonts w:ascii="Arial" w:eastAsia="Times New Roman" w:hAnsi="Arial" w:cs="Arial"/>
                <w:b/>
                <w:bCs/>
                <w:sz w:val="16"/>
                <w:szCs w:val="16"/>
              </w:rPr>
              <w:t>91</w:t>
            </w:r>
            <w:r>
              <w:rPr>
                <w:rFonts w:ascii="Arial" w:eastAsia="Times New Roman" w:hAnsi="Arial" w:cs="Arial"/>
                <w:b/>
                <w:bCs/>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3E5D52AB" w14:textId="377B60AF" w:rsidR="000E2E9F" w:rsidRDefault="00EB357C" w:rsidP="00EB357C">
            <w:pPr>
              <w:spacing w:after="0"/>
              <w:jc w:val="center"/>
              <w:rPr>
                <w:rFonts w:eastAsia="Times New Roman"/>
              </w:rPr>
            </w:pPr>
            <w:r>
              <w:rPr>
                <w:rFonts w:ascii="Arial" w:eastAsia="Times New Roman" w:hAnsi="Arial" w:cs="Arial"/>
                <w:b/>
                <w:bCs/>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1D39313B" w14:textId="643F7FDA" w:rsidR="000E2E9F" w:rsidRDefault="000E2E9F" w:rsidP="00F113BD">
            <w:pPr>
              <w:spacing w:after="0"/>
              <w:jc w:val="right"/>
              <w:rPr>
                <w:rFonts w:eastAsia="Times New Roman"/>
              </w:rPr>
            </w:pPr>
            <w:r>
              <w:rPr>
                <w:rFonts w:ascii="Arial" w:eastAsia="Times New Roman" w:hAnsi="Arial" w:cs="Arial"/>
                <w:b/>
                <w:bCs/>
                <w:sz w:val="16"/>
                <w:szCs w:val="16"/>
              </w:rPr>
              <w:t>(316.025,</w:t>
            </w:r>
            <w:r w:rsidR="00EB357C">
              <w:rPr>
                <w:rFonts w:ascii="Arial" w:eastAsia="Times New Roman" w:hAnsi="Arial" w:cs="Arial"/>
                <w:b/>
                <w:bCs/>
                <w:sz w:val="16"/>
                <w:szCs w:val="16"/>
              </w:rPr>
              <w:t>06</w:t>
            </w:r>
            <w:r>
              <w:rPr>
                <w:rFonts w:ascii="Arial" w:eastAsia="Times New Roman" w:hAnsi="Arial" w:cs="Arial"/>
                <w:b/>
                <w:bCs/>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3622665F" w14:textId="0818FB20" w:rsidR="000E2E9F" w:rsidRDefault="00EB357C" w:rsidP="00EB357C">
            <w:pPr>
              <w:spacing w:after="0"/>
              <w:jc w:val="center"/>
              <w:rPr>
                <w:rFonts w:eastAsia="Times New Roman"/>
              </w:rPr>
            </w:pPr>
            <w:r>
              <w:rPr>
                <w:rFonts w:ascii="Arial" w:eastAsia="Times New Roman" w:hAnsi="Arial" w:cs="Arial"/>
                <w:b/>
                <w:bCs/>
                <w:sz w:val="16"/>
                <w:szCs w:val="16"/>
              </w:rPr>
              <w:t>-</w:t>
            </w:r>
          </w:p>
        </w:tc>
      </w:tr>
      <w:tr w:rsidR="000E2E9F" w14:paraId="50DB3286" w14:textId="77777777" w:rsidTr="000E2E9F">
        <w:tc>
          <w:tcPr>
            <w:tcW w:w="1041" w:type="pct"/>
            <w:gridSpan w:val="3"/>
            <w:tcBorders>
              <w:top w:val="outset" w:sz="6" w:space="0" w:color="auto"/>
              <w:left w:val="outset" w:sz="6" w:space="0" w:color="auto"/>
              <w:bottom w:val="outset" w:sz="6" w:space="0" w:color="auto"/>
              <w:right w:val="outset" w:sz="6" w:space="0" w:color="auto"/>
            </w:tcBorders>
            <w:vAlign w:val="center"/>
            <w:hideMark/>
          </w:tcPr>
          <w:p w14:paraId="789F6CB6" w14:textId="77777777" w:rsidR="000E2E9F" w:rsidRDefault="000E2E9F" w:rsidP="00F113BD">
            <w:pPr>
              <w:spacing w:after="0"/>
              <w:jc w:val="center"/>
              <w:rPr>
                <w:rFonts w:eastAsia="Times New Roman"/>
              </w:rPr>
            </w:pPr>
            <w:r>
              <w:rPr>
                <w:rFonts w:ascii="Arial" w:eastAsia="Times New Roman" w:hAnsi="Arial" w:cs="Arial"/>
                <w:b/>
                <w:bCs/>
                <w:sz w:val="16"/>
                <w:szCs w:val="16"/>
              </w:rPr>
              <w:t>Total Líquido</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C9F3136" w14:textId="6EAC47BF" w:rsidR="000E2E9F" w:rsidRDefault="000E2E9F" w:rsidP="00F113BD">
            <w:pPr>
              <w:spacing w:after="0"/>
              <w:jc w:val="right"/>
              <w:rPr>
                <w:rFonts w:eastAsia="Times New Roman"/>
              </w:rPr>
            </w:pPr>
            <w:r>
              <w:rPr>
                <w:rFonts w:ascii="Arial" w:eastAsia="Times New Roman" w:hAnsi="Arial" w:cs="Arial"/>
                <w:b/>
                <w:bCs/>
                <w:sz w:val="16"/>
                <w:szCs w:val="16"/>
              </w:rPr>
              <w:t>177.540,</w:t>
            </w:r>
            <w:r w:rsidR="00EB357C">
              <w:rPr>
                <w:rFonts w:ascii="Arial" w:eastAsia="Times New Roman" w:hAnsi="Arial" w:cs="Arial"/>
                <w:b/>
                <w:bCs/>
                <w:sz w:val="16"/>
                <w:szCs w:val="16"/>
              </w:rPr>
              <w:t>88</w:t>
            </w:r>
          </w:p>
        </w:tc>
        <w:tc>
          <w:tcPr>
            <w:tcW w:w="703" w:type="pct"/>
            <w:tcBorders>
              <w:top w:val="outset" w:sz="6" w:space="0" w:color="auto"/>
              <w:left w:val="outset" w:sz="6" w:space="0" w:color="auto"/>
              <w:bottom w:val="outset" w:sz="6" w:space="0" w:color="auto"/>
              <w:right w:val="outset" w:sz="6" w:space="0" w:color="auto"/>
            </w:tcBorders>
            <w:vAlign w:val="center"/>
            <w:hideMark/>
          </w:tcPr>
          <w:p w14:paraId="6D9335B3" w14:textId="1B5C1A5A" w:rsidR="000E2E9F" w:rsidRDefault="000E2E9F" w:rsidP="00F113BD">
            <w:pPr>
              <w:spacing w:after="0"/>
              <w:jc w:val="right"/>
              <w:rPr>
                <w:rFonts w:eastAsia="Times New Roman"/>
              </w:rPr>
            </w:pPr>
            <w:r>
              <w:rPr>
                <w:rFonts w:ascii="Arial" w:eastAsia="Times New Roman" w:hAnsi="Arial" w:cs="Arial"/>
                <w:b/>
                <w:bCs/>
                <w:sz w:val="16"/>
                <w:szCs w:val="16"/>
              </w:rPr>
              <w:t>177.540,</w:t>
            </w:r>
            <w:r w:rsidR="00EB357C">
              <w:rPr>
                <w:rFonts w:ascii="Arial" w:eastAsia="Times New Roman" w:hAnsi="Arial" w:cs="Arial"/>
                <w:b/>
                <w:bCs/>
                <w:sz w:val="16"/>
                <w:szCs w:val="16"/>
              </w:rPr>
              <w:t>88</w:t>
            </w:r>
          </w:p>
        </w:tc>
        <w:tc>
          <w:tcPr>
            <w:tcW w:w="703" w:type="pct"/>
            <w:tcBorders>
              <w:top w:val="outset" w:sz="6" w:space="0" w:color="auto"/>
              <w:left w:val="outset" w:sz="6" w:space="0" w:color="auto"/>
              <w:bottom w:val="outset" w:sz="6" w:space="0" w:color="auto"/>
              <w:right w:val="outset" w:sz="6" w:space="0" w:color="auto"/>
            </w:tcBorders>
            <w:vAlign w:val="center"/>
            <w:hideMark/>
          </w:tcPr>
          <w:p w14:paraId="437FF8E2" w14:textId="1338E0E9" w:rsidR="000E2E9F" w:rsidRDefault="00EB357C" w:rsidP="00EB357C">
            <w:pPr>
              <w:spacing w:after="0"/>
              <w:jc w:val="center"/>
              <w:rPr>
                <w:rFonts w:eastAsia="Times New Roman"/>
              </w:rPr>
            </w:pPr>
            <w:r>
              <w:rPr>
                <w:rFonts w:ascii="Arial" w:eastAsia="Times New Roman" w:hAnsi="Arial" w:cs="Arial"/>
                <w:b/>
                <w:bCs/>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1F7BBC76" w14:textId="306B31A3" w:rsidR="000E2E9F" w:rsidRDefault="000E2E9F" w:rsidP="00F113BD">
            <w:pPr>
              <w:spacing w:after="0"/>
              <w:jc w:val="right"/>
              <w:rPr>
                <w:rFonts w:eastAsia="Times New Roman"/>
              </w:rPr>
            </w:pPr>
            <w:r>
              <w:rPr>
                <w:rFonts w:ascii="Arial" w:eastAsia="Times New Roman" w:hAnsi="Arial" w:cs="Arial"/>
                <w:b/>
                <w:bCs/>
                <w:sz w:val="16"/>
                <w:szCs w:val="16"/>
              </w:rPr>
              <w:t>124.576,</w:t>
            </w:r>
            <w:r w:rsidR="00EB357C">
              <w:rPr>
                <w:rFonts w:ascii="Arial" w:eastAsia="Times New Roman" w:hAnsi="Arial" w:cs="Arial"/>
                <w:b/>
                <w:bCs/>
                <w:sz w:val="16"/>
                <w:szCs w:val="16"/>
              </w:rPr>
              <w:t>05</w:t>
            </w:r>
          </w:p>
        </w:tc>
        <w:tc>
          <w:tcPr>
            <w:tcW w:w="703" w:type="pct"/>
            <w:tcBorders>
              <w:top w:val="outset" w:sz="6" w:space="0" w:color="auto"/>
              <w:left w:val="outset" w:sz="6" w:space="0" w:color="auto"/>
              <w:bottom w:val="outset" w:sz="6" w:space="0" w:color="auto"/>
              <w:right w:val="outset" w:sz="6" w:space="0" w:color="auto"/>
            </w:tcBorders>
            <w:vAlign w:val="center"/>
            <w:hideMark/>
          </w:tcPr>
          <w:p w14:paraId="68F9C3D8" w14:textId="4166C21B" w:rsidR="000E2E9F" w:rsidRDefault="00EB357C" w:rsidP="00EB357C">
            <w:pPr>
              <w:spacing w:after="0"/>
              <w:jc w:val="center"/>
              <w:rPr>
                <w:rFonts w:eastAsia="Times New Roman"/>
              </w:rPr>
            </w:pPr>
            <w:r>
              <w:rPr>
                <w:rFonts w:ascii="Arial" w:eastAsia="Times New Roman" w:hAnsi="Arial" w:cs="Arial"/>
                <w:b/>
                <w:bCs/>
                <w:sz w:val="16"/>
                <w:szCs w:val="16"/>
              </w:rPr>
              <w:t>-</w:t>
            </w:r>
          </w:p>
        </w:tc>
      </w:tr>
    </w:tbl>
    <w:p w14:paraId="78584D82" w14:textId="5D6EF814" w:rsidR="00FE0C5A" w:rsidRDefault="00EB357C">
      <w:pPr>
        <w:pStyle w:val="NormalWeb"/>
        <w:jc w:val="both"/>
      </w:pPr>
      <w:r>
        <w:rPr>
          <w:rFonts w:ascii="Arial" w:hAnsi="Arial" w:cs="Arial"/>
          <w:b/>
          <w:bCs/>
          <w:sz w:val="20"/>
          <w:szCs w:val="20"/>
        </w:rPr>
        <w:t>9. Ativos Fiscais, Correntes e Diferidos</w:t>
      </w:r>
    </w:p>
    <w:p w14:paraId="6EA27F71" w14:textId="77777777" w:rsidR="00FE0C5A" w:rsidRDefault="000C18DB">
      <w:pPr>
        <w:pStyle w:val="NormalWeb"/>
        <w:jc w:val="both"/>
      </w:pPr>
      <w:r>
        <w:rPr>
          <w:rFonts w:ascii="Arial" w:hAnsi="Arial" w:cs="Arial"/>
          <w:sz w:val="20"/>
          <w:szCs w:val="20"/>
        </w:rPr>
        <w:t xml:space="preserve">Em 31 de dezembro de 2023 e 2022, os </w:t>
      </w:r>
      <w:r>
        <w:rPr>
          <w:rFonts w:ascii="Arial" w:hAnsi="Arial" w:cs="Arial"/>
          <w:sz w:val="20"/>
          <w:szCs w:val="20"/>
        </w:rPr>
        <w:t>ativos fiscais, correntes e diferidos estão assim compostos:</w:t>
      </w:r>
    </w:p>
    <w:tbl>
      <w:tblPr>
        <w:tblW w:w="5000" w:type="pct"/>
        <w:tblCellMar>
          <w:left w:w="0" w:type="dxa"/>
          <w:right w:w="0" w:type="dxa"/>
        </w:tblCellMar>
        <w:tblLook w:val="04A0" w:firstRow="1" w:lastRow="0" w:firstColumn="1" w:lastColumn="0" w:noHBand="0" w:noVBand="1"/>
      </w:tblPr>
      <w:tblGrid>
        <w:gridCol w:w="3367"/>
        <w:gridCol w:w="972"/>
        <w:gridCol w:w="1365"/>
        <w:gridCol w:w="973"/>
        <w:gridCol w:w="973"/>
        <w:gridCol w:w="1365"/>
        <w:gridCol w:w="973"/>
      </w:tblGrid>
      <w:tr w:rsidR="00FE0C5A" w14:paraId="27CB33F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FFFEC5"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DDBAFB"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5B3348"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204AAE8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9963ACA"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5A34F8"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EE2EA"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3F629"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763DA"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E7DAE"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87418"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11389E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16943C" w14:textId="77777777" w:rsidR="00FE0C5A" w:rsidRDefault="000C18DB" w:rsidP="00F113BD">
            <w:pPr>
              <w:spacing w:after="0"/>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1B32A" w14:textId="77777777" w:rsidR="00FE0C5A" w:rsidRDefault="000C18DB" w:rsidP="00F113BD">
            <w:pPr>
              <w:spacing w:after="0"/>
              <w:jc w:val="right"/>
              <w:rPr>
                <w:rFonts w:eastAsia="Times New Roman"/>
              </w:rPr>
            </w:pPr>
            <w:r>
              <w:rPr>
                <w:rFonts w:ascii="Arial" w:eastAsia="Times New Roman" w:hAnsi="Arial" w:cs="Arial"/>
                <w:sz w:val="16"/>
                <w:szCs w:val="16"/>
              </w:rPr>
              <w:t>127.921,12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3255B"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CD865" w14:textId="77777777" w:rsidR="00FE0C5A" w:rsidRDefault="000C18DB" w:rsidP="00F113BD">
            <w:pPr>
              <w:spacing w:after="0"/>
              <w:jc w:val="right"/>
              <w:rPr>
                <w:rFonts w:eastAsia="Times New Roman"/>
              </w:rPr>
            </w:pPr>
            <w:r>
              <w:rPr>
                <w:rFonts w:ascii="Arial" w:eastAsia="Times New Roman" w:hAnsi="Arial" w:cs="Arial"/>
                <w:sz w:val="16"/>
                <w:szCs w:val="16"/>
              </w:rPr>
              <w:t>127.921,12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66758" w14:textId="77777777" w:rsidR="00FE0C5A" w:rsidRDefault="000C18DB" w:rsidP="00F113BD">
            <w:pPr>
              <w:spacing w:after="0"/>
              <w:jc w:val="right"/>
              <w:rPr>
                <w:rFonts w:eastAsia="Times New Roman"/>
              </w:rPr>
            </w:pPr>
            <w:r>
              <w:rPr>
                <w:rFonts w:ascii="Arial" w:eastAsia="Times New Roman" w:hAnsi="Arial" w:cs="Arial"/>
                <w:sz w:val="16"/>
                <w:szCs w:val="16"/>
              </w:rPr>
              <w:t>152.177,43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76DD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DA6E7" w14:textId="77777777" w:rsidR="00FE0C5A" w:rsidRDefault="000C18DB" w:rsidP="00F113BD">
            <w:pPr>
              <w:spacing w:after="0"/>
              <w:jc w:val="right"/>
              <w:rPr>
                <w:rFonts w:eastAsia="Times New Roman"/>
              </w:rPr>
            </w:pPr>
            <w:r>
              <w:rPr>
                <w:rFonts w:ascii="Arial" w:eastAsia="Times New Roman" w:hAnsi="Arial" w:cs="Arial"/>
                <w:sz w:val="16"/>
                <w:szCs w:val="16"/>
              </w:rPr>
              <w:t>152.177,43</w:t>
            </w:r>
          </w:p>
        </w:tc>
      </w:tr>
      <w:tr w:rsidR="00FE0C5A" w14:paraId="3AA040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2AF8A8"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22145" w14:textId="77777777" w:rsidR="00FE0C5A" w:rsidRDefault="000C18DB" w:rsidP="00F113BD">
            <w:pPr>
              <w:spacing w:after="0"/>
              <w:jc w:val="right"/>
              <w:rPr>
                <w:rFonts w:eastAsia="Times New Roman"/>
              </w:rPr>
            </w:pPr>
            <w:r>
              <w:rPr>
                <w:rFonts w:ascii="Arial" w:eastAsia="Times New Roman" w:hAnsi="Arial" w:cs="Arial"/>
                <w:b/>
                <w:bCs/>
                <w:sz w:val="16"/>
                <w:szCs w:val="16"/>
              </w:rPr>
              <w:t>127.921,12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31E8B"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7A977" w14:textId="77777777" w:rsidR="00FE0C5A" w:rsidRDefault="000C18DB" w:rsidP="00F113BD">
            <w:pPr>
              <w:spacing w:after="0"/>
              <w:jc w:val="right"/>
              <w:rPr>
                <w:rFonts w:eastAsia="Times New Roman"/>
              </w:rPr>
            </w:pPr>
            <w:r>
              <w:rPr>
                <w:rFonts w:ascii="Arial" w:eastAsia="Times New Roman" w:hAnsi="Arial" w:cs="Arial"/>
                <w:b/>
                <w:bCs/>
                <w:sz w:val="16"/>
                <w:szCs w:val="16"/>
              </w:rPr>
              <w:t>127.921,12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D1473" w14:textId="77777777" w:rsidR="00FE0C5A" w:rsidRDefault="000C18DB" w:rsidP="00F113BD">
            <w:pPr>
              <w:spacing w:after="0"/>
              <w:jc w:val="right"/>
              <w:rPr>
                <w:rFonts w:eastAsia="Times New Roman"/>
              </w:rPr>
            </w:pPr>
            <w:r>
              <w:rPr>
                <w:rFonts w:ascii="Arial" w:eastAsia="Times New Roman" w:hAnsi="Arial" w:cs="Arial"/>
                <w:b/>
                <w:bCs/>
                <w:sz w:val="16"/>
                <w:szCs w:val="16"/>
              </w:rPr>
              <w:t>152.177,43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62790"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8AA76" w14:textId="77777777" w:rsidR="00FE0C5A" w:rsidRDefault="000C18DB" w:rsidP="00F113BD">
            <w:pPr>
              <w:spacing w:after="0"/>
              <w:jc w:val="right"/>
              <w:rPr>
                <w:rFonts w:eastAsia="Times New Roman"/>
              </w:rPr>
            </w:pPr>
            <w:r>
              <w:rPr>
                <w:rFonts w:ascii="Arial" w:eastAsia="Times New Roman" w:hAnsi="Arial" w:cs="Arial"/>
                <w:b/>
                <w:bCs/>
                <w:sz w:val="16"/>
                <w:szCs w:val="16"/>
              </w:rPr>
              <w:t>152.177,43</w:t>
            </w:r>
          </w:p>
        </w:tc>
      </w:tr>
    </w:tbl>
    <w:p w14:paraId="7B201033" w14:textId="6D1270F6" w:rsidR="00FE0C5A" w:rsidRDefault="000C18DB">
      <w:pPr>
        <w:pStyle w:val="NormalWeb"/>
        <w:jc w:val="both"/>
      </w:pPr>
      <w:r>
        <w:rPr>
          <w:rFonts w:ascii="Arial" w:hAnsi="Arial" w:cs="Arial"/>
          <w:sz w:val="20"/>
          <w:szCs w:val="20"/>
        </w:rPr>
        <w:t xml:space="preserve">Em cumprimento à Resolução CMN nº 4.842/2020, os saldos de ativos fiscais, correntes e diferidos de maior relevância tiveram origem nos seguintes processos: Saldo Negativo De IRPJ – Exercícios Anteriores (R$ </w:t>
      </w:r>
      <w:r w:rsidR="00EB357C" w:rsidRPr="00EB357C">
        <w:rPr>
          <w:rFonts w:ascii="Arial" w:hAnsi="Arial" w:cs="Arial"/>
          <w:sz w:val="20"/>
          <w:szCs w:val="20"/>
        </w:rPr>
        <w:t>88.665,38</w:t>
      </w:r>
      <w:r>
        <w:rPr>
          <w:rFonts w:ascii="Arial" w:hAnsi="Arial" w:cs="Arial"/>
          <w:sz w:val="20"/>
          <w:szCs w:val="20"/>
        </w:rPr>
        <w:t xml:space="preserve">); Saldo Negativo De CSLL – Exercícios Anteriores (R$ </w:t>
      </w:r>
      <w:r w:rsidR="00EB357C" w:rsidRPr="00EB357C">
        <w:rPr>
          <w:rFonts w:ascii="Arial" w:hAnsi="Arial" w:cs="Arial"/>
          <w:sz w:val="20"/>
          <w:szCs w:val="20"/>
        </w:rPr>
        <w:t>38.806,50</w:t>
      </w:r>
      <w:r>
        <w:rPr>
          <w:rFonts w:ascii="Arial" w:hAnsi="Arial" w:cs="Arial"/>
          <w:sz w:val="20"/>
          <w:szCs w:val="20"/>
        </w:rPr>
        <w:t xml:space="preserve">); Outros impostos e contribuições a compensar (R$ </w:t>
      </w:r>
      <w:r w:rsidR="00EB357C" w:rsidRPr="00EB357C">
        <w:rPr>
          <w:rFonts w:ascii="Arial" w:hAnsi="Arial" w:cs="Arial"/>
          <w:sz w:val="20"/>
          <w:szCs w:val="20"/>
        </w:rPr>
        <w:t>449,24</w:t>
      </w:r>
      <w:r>
        <w:rPr>
          <w:rFonts w:ascii="Arial" w:hAnsi="Arial" w:cs="Arial"/>
          <w:sz w:val="20"/>
          <w:szCs w:val="20"/>
        </w:rPr>
        <w:t xml:space="preserve">). </w:t>
      </w:r>
    </w:p>
    <w:p w14:paraId="181A5EC7" w14:textId="2FC5736A" w:rsidR="00FE0C5A" w:rsidRDefault="000C18DB">
      <w:pPr>
        <w:pStyle w:val="NormalWeb"/>
        <w:jc w:val="both"/>
      </w:pPr>
      <w:r>
        <w:rPr>
          <w:rFonts w:ascii="Arial" w:hAnsi="Arial" w:cs="Arial"/>
          <w:b/>
          <w:bCs/>
          <w:sz w:val="20"/>
          <w:szCs w:val="20"/>
        </w:rPr>
        <w:t>1</w:t>
      </w:r>
      <w:r w:rsidR="00EB357C">
        <w:rPr>
          <w:rFonts w:ascii="Arial" w:hAnsi="Arial" w:cs="Arial"/>
          <w:b/>
          <w:bCs/>
          <w:sz w:val="20"/>
          <w:szCs w:val="20"/>
        </w:rPr>
        <w:t>0</w:t>
      </w:r>
      <w:r>
        <w:rPr>
          <w:rFonts w:ascii="Arial" w:hAnsi="Arial" w:cs="Arial"/>
          <w:b/>
          <w:bCs/>
          <w:sz w:val="20"/>
          <w:szCs w:val="20"/>
        </w:rPr>
        <w:t>. Outros Ativos</w:t>
      </w:r>
    </w:p>
    <w:p w14:paraId="46B2C1A6" w14:textId="77777777" w:rsidR="00FE0C5A" w:rsidRDefault="000C18DB">
      <w:pPr>
        <w:pStyle w:val="NormalWeb"/>
        <w:jc w:val="both"/>
      </w:pPr>
      <w:r>
        <w:rPr>
          <w:rFonts w:ascii="Arial" w:hAnsi="Arial" w:cs="Arial"/>
          <w:sz w:val="20"/>
          <w:szCs w:val="20"/>
        </w:rPr>
        <w:t>Em 31 de dezembro de 2023 e 2022, os outros ativos estão assim compostos:</w:t>
      </w:r>
    </w:p>
    <w:tbl>
      <w:tblPr>
        <w:tblW w:w="5000" w:type="pct"/>
        <w:tblCellMar>
          <w:left w:w="0" w:type="dxa"/>
          <w:right w:w="0" w:type="dxa"/>
        </w:tblCellMar>
        <w:tblLook w:val="04A0" w:firstRow="1" w:lastRow="0" w:firstColumn="1" w:lastColumn="0" w:noHBand="0" w:noVBand="1"/>
      </w:tblPr>
      <w:tblGrid>
        <w:gridCol w:w="3916"/>
        <w:gridCol w:w="892"/>
        <w:gridCol w:w="1252"/>
        <w:gridCol w:w="892"/>
        <w:gridCol w:w="892"/>
        <w:gridCol w:w="1252"/>
        <w:gridCol w:w="892"/>
      </w:tblGrid>
      <w:tr w:rsidR="00FE0C5A" w14:paraId="1DE4754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BBD079"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39A3A0"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46F9A7"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384B4DD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073F710"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DA0B95"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B4D1C"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A204A"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566B0"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1436E"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4CD78"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524491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F5CB08" w14:textId="77777777" w:rsidR="00FE0C5A" w:rsidRDefault="000C18DB" w:rsidP="00F113BD">
            <w:pPr>
              <w:spacing w:after="0"/>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AC5E6" w14:textId="77777777" w:rsidR="00FE0C5A" w:rsidRDefault="000C18DB" w:rsidP="00F113BD">
            <w:pPr>
              <w:spacing w:after="0"/>
              <w:jc w:val="right"/>
              <w:rPr>
                <w:rFonts w:eastAsia="Times New Roman"/>
              </w:rPr>
            </w:pPr>
            <w:r>
              <w:rPr>
                <w:rFonts w:ascii="Arial" w:eastAsia="Times New Roman" w:hAnsi="Arial" w:cs="Arial"/>
                <w:sz w:val="16"/>
                <w:szCs w:val="16"/>
              </w:rPr>
              <w:t>30.957,02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6FA2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7455F" w14:textId="77777777" w:rsidR="00FE0C5A" w:rsidRDefault="000C18DB" w:rsidP="00F113BD">
            <w:pPr>
              <w:spacing w:after="0"/>
              <w:jc w:val="right"/>
              <w:rPr>
                <w:rFonts w:eastAsia="Times New Roman"/>
              </w:rPr>
            </w:pPr>
            <w:r>
              <w:rPr>
                <w:rFonts w:ascii="Arial" w:eastAsia="Times New Roman" w:hAnsi="Arial" w:cs="Arial"/>
                <w:sz w:val="16"/>
                <w:szCs w:val="16"/>
              </w:rPr>
              <w:t>30.957,02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CFE85" w14:textId="77777777" w:rsidR="00FE0C5A" w:rsidRDefault="000C18DB" w:rsidP="00F113BD">
            <w:pPr>
              <w:spacing w:after="0"/>
              <w:jc w:val="right"/>
              <w:rPr>
                <w:rFonts w:eastAsia="Times New Roman"/>
              </w:rPr>
            </w:pPr>
            <w:r>
              <w:rPr>
                <w:rFonts w:ascii="Arial" w:eastAsia="Times New Roman" w:hAnsi="Arial" w:cs="Arial"/>
                <w:sz w:val="16"/>
                <w:szCs w:val="16"/>
              </w:rPr>
              <w:t>25.567,26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CDFDA"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47620" w14:textId="77777777" w:rsidR="00FE0C5A" w:rsidRDefault="000C18DB" w:rsidP="00F113BD">
            <w:pPr>
              <w:spacing w:after="0"/>
              <w:jc w:val="right"/>
              <w:rPr>
                <w:rFonts w:eastAsia="Times New Roman"/>
              </w:rPr>
            </w:pPr>
            <w:r>
              <w:rPr>
                <w:rFonts w:ascii="Arial" w:eastAsia="Times New Roman" w:hAnsi="Arial" w:cs="Arial"/>
                <w:sz w:val="16"/>
                <w:szCs w:val="16"/>
              </w:rPr>
              <w:t>25.567,26</w:t>
            </w:r>
          </w:p>
        </w:tc>
      </w:tr>
      <w:tr w:rsidR="00FE0C5A" w14:paraId="5D1933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9C2513" w14:textId="77777777" w:rsidR="00FE0C5A" w:rsidRDefault="000C18DB" w:rsidP="00F113BD">
            <w:pPr>
              <w:spacing w:after="0"/>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70B51" w14:textId="77777777" w:rsidR="00FE0C5A" w:rsidRDefault="000C18DB" w:rsidP="00F113BD">
            <w:pPr>
              <w:spacing w:after="0"/>
              <w:jc w:val="right"/>
              <w:rPr>
                <w:rFonts w:eastAsia="Times New Roman"/>
              </w:rPr>
            </w:pPr>
            <w:r>
              <w:rPr>
                <w:rFonts w:ascii="Arial" w:eastAsia="Times New Roman" w:hAnsi="Arial" w:cs="Arial"/>
                <w:sz w:val="16"/>
                <w:szCs w:val="16"/>
              </w:rPr>
              <w:t>95.896,76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9EBDB"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A0AB3" w14:textId="77777777" w:rsidR="00FE0C5A" w:rsidRDefault="000C18DB" w:rsidP="00F113BD">
            <w:pPr>
              <w:spacing w:after="0"/>
              <w:jc w:val="right"/>
              <w:rPr>
                <w:rFonts w:eastAsia="Times New Roman"/>
              </w:rPr>
            </w:pPr>
            <w:r>
              <w:rPr>
                <w:rFonts w:ascii="Arial" w:eastAsia="Times New Roman" w:hAnsi="Arial" w:cs="Arial"/>
                <w:sz w:val="16"/>
                <w:szCs w:val="16"/>
              </w:rPr>
              <w:t>95.896,76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93C36" w14:textId="77777777" w:rsidR="00FE0C5A" w:rsidRDefault="000C18DB" w:rsidP="00F113BD">
            <w:pPr>
              <w:spacing w:after="0"/>
              <w:jc w:val="right"/>
              <w:rPr>
                <w:rFonts w:eastAsia="Times New Roman"/>
              </w:rPr>
            </w:pPr>
            <w:r>
              <w:rPr>
                <w:rFonts w:ascii="Arial" w:eastAsia="Times New Roman" w:hAnsi="Arial" w:cs="Arial"/>
                <w:sz w:val="16"/>
                <w:szCs w:val="16"/>
              </w:rPr>
              <w:t>179.997,96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7AC8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26067" w14:textId="77777777" w:rsidR="00FE0C5A" w:rsidRDefault="000C18DB" w:rsidP="00F113BD">
            <w:pPr>
              <w:spacing w:after="0"/>
              <w:jc w:val="right"/>
              <w:rPr>
                <w:rFonts w:eastAsia="Times New Roman"/>
              </w:rPr>
            </w:pPr>
            <w:r>
              <w:rPr>
                <w:rFonts w:ascii="Arial" w:eastAsia="Times New Roman" w:hAnsi="Arial" w:cs="Arial"/>
                <w:sz w:val="16"/>
                <w:szCs w:val="16"/>
              </w:rPr>
              <w:t>179.997,96</w:t>
            </w:r>
          </w:p>
        </w:tc>
      </w:tr>
      <w:tr w:rsidR="00FE0C5A" w14:paraId="7CF97B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D78910" w14:textId="77777777" w:rsidR="00FE0C5A" w:rsidRDefault="000C18DB" w:rsidP="00F113BD">
            <w:pPr>
              <w:spacing w:after="0"/>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1ECD3" w14:textId="77777777" w:rsidR="00FE0C5A" w:rsidRDefault="000C18DB" w:rsidP="00F113BD">
            <w:pPr>
              <w:spacing w:after="0"/>
              <w:jc w:val="right"/>
              <w:rPr>
                <w:rFonts w:eastAsia="Times New Roman"/>
              </w:rPr>
            </w:pPr>
            <w:r>
              <w:rPr>
                <w:rFonts w:ascii="Arial" w:eastAsia="Times New Roman" w:hAnsi="Arial" w:cs="Arial"/>
                <w:sz w:val="16"/>
                <w:szCs w:val="16"/>
              </w:rPr>
              <w:t>138.356,44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7357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AF5C4" w14:textId="77777777" w:rsidR="00FE0C5A" w:rsidRDefault="000C18DB" w:rsidP="00F113BD">
            <w:pPr>
              <w:spacing w:after="0"/>
              <w:jc w:val="right"/>
              <w:rPr>
                <w:rFonts w:eastAsia="Times New Roman"/>
              </w:rPr>
            </w:pPr>
            <w:r>
              <w:rPr>
                <w:rFonts w:ascii="Arial" w:eastAsia="Times New Roman" w:hAnsi="Arial" w:cs="Arial"/>
                <w:sz w:val="16"/>
                <w:szCs w:val="16"/>
              </w:rPr>
              <w:t>138.356,44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32A62" w14:textId="77777777" w:rsidR="00FE0C5A" w:rsidRDefault="000C18DB" w:rsidP="00F113BD">
            <w:pPr>
              <w:spacing w:after="0"/>
              <w:jc w:val="right"/>
              <w:rPr>
                <w:rFonts w:eastAsia="Times New Roman"/>
              </w:rPr>
            </w:pPr>
            <w:r>
              <w:rPr>
                <w:rFonts w:ascii="Arial" w:eastAsia="Times New Roman" w:hAnsi="Arial" w:cs="Arial"/>
                <w:sz w:val="16"/>
                <w:szCs w:val="16"/>
              </w:rPr>
              <w:t>4.199,00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DC4B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FCB5C" w14:textId="77777777" w:rsidR="00FE0C5A" w:rsidRDefault="000C18DB" w:rsidP="00F113BD">
            <w:pPr>
              <w:spacing w:after="0"/>
              <w:jc w:val="right"/>
              <w:rPr>
                <w:rFonts w:eastAsia="Times New Roman"/>
              </w:rPr>
            </w:pPr>
            <w:r>
              <w:rPr>
                <w:rFonts w:ascii="Arial" w:eastAsia="Times New Roman" w:hAnsi="Arial" w:cs="Arial"/>
                <w:sz w:val="16"/>
                <w:szCs w:val="16"/>
              </w:rPr>
              <w:t>4.199,00</w:t>
            </w:r>
          </w:p>
        </w:tc>
      </w:tr>
      <w:tr w:rsidR="00FE0C5A" w14:paraId="356DE3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014A90" w14:textId="77777777" w:rsidR="00FE0C5A" w:rsidRDefault="000C18DB" w:rsidP="00F113BD">
            <w:pPr>
              <w:spacing w:after="0"/>
              <w:rPr>
                <w:rFonts w:eastAsia="Times New Roman"/>
              </w:rPr>
            </w:pPr>
            <w:r>
              <w:rPr>
                <w:rFonts w:ascii="Arial" w:eastAsia="Times New Roman" w:hAnsi="Arial" w:cs="Arial"/>
                <w:sz w:val="16"/>
                <w:szCs w:val="16"/>
              </w:rPr>
              <w:t>Pagamentos a Ressarcir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625E4" w14:textId="77777777" w:rsidR="00FE0C5A" w:rsidRDefault="000C18DB" w:rsidP="00F113BD">
            <w:pPr>
              <w:spacing w:after="0"/>
              <w:jc w:val="right"/>
              <w:rPr>
                <w:rFonts w:eastAsia="Times New Roman"/>
              </w:rPr>
            </w:pPr>
            <w:r>
              <w:rPr>
                <w:rFonts w:ascii="Arial" w:eastAsia="Times New Roman" w:hAnsi="Arial" w:cs="Arial"/>
                <w:sz w:val="16"/>
                <w:szCs w:val="16"/>
              </w:rPr>
              <w:t>728,02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882C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DFC50" w14:textId="77777777" w:rsidR="00FE0C5A" w:rsidRDefault="000C18DB" w:rsidP="00F113BD">
            <w:pPr>
              <w:spacing w:after="0"/>
              <w:jc w:val="right"/>
              <w:rPr>
                <w:rFonts w:eastAsia="Times New Roman"/>
              </w:rPr>
            </w:pPr>
            <w:r>
              <w:rPr>
                <w:rFonts w:ascii="Arial" w:eastAsia="Times New Roman" w:hAnsi="Arial" w:cs="Arial"/>
                <w:sz w:val="16"/>
                <w:szCs w:val="16"/>
              </w:rPr>
              <w:t>728,02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551BF" w14:textId="77777777" w:rsidR="00FE0C5A" w:rsidRDefault="000C18DB" w:rsidP="00F113BD">
            <w:pPr>
              <w:spacing w:after="0"/>
              <w:jc w:val="right"/>
              <w:rPr>
                <w:rFonts w:eastAsia="Times New Roman"/>
              </w:rPr>
            </w:pPr>
            <w:r>
              <w:rPr>
                <w:rFonts w:ascii="Arial" w:eastAsia="Times New Roman" w:hAnsi="Arial" w:cs="Arial"/>
                <w:sz w:val="16"/>
                <w:szCs w:val="16"/>
              </w:rPr>
              <w:t>728,02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DC73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00649" w14:textId="77777777" w:rsidR="00FE0C5A" w:rsidRDefault="000C18DB" w:rsidP="00F113BD">
            <w:pPr>
              <w:spacing w:after="0"/>
              <w:jc w:val="right"/>
              <w:rPr>
                <w:rFonts w:eastAsia="Times New Roman"/>
              </w:rPr>
            </w:pPr>
            <w:r>
              <w:rPr>
                <w:rFonts w:ascii="Arial" w:eastAsia="Times New Roman" w:hAnsi="Arial" w:cs="Arial"/>
                <w:sz w:val="16"/>
                <w:szCs w:val="16"/>
              </w:rPr>
              <w:t>728,02</w:t>
            </w:r>
          </w:p>
        </w:tc>
      </w:tr>
      <w:tr w:rsidR="00FE0C5A" w14:paraId="0995D6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C456C9" w14:textId="6881A124" w:rsidR="00FE0C5A" w:rsidRDefault="000C18DB" w:rsidP="00F113BD">
            <w:pPr>
              <w:spacing w:after="0"/>
              <w:rPr>
                <w:rFonts w:eastAsia="Times New Roman"/>
              </w:rPr>
            </w:pPr>
            <w:r>
              <w:rPr>
                <w:rFonts w:ascii="Arial" w:eastAsia="Times New Roman" w:hAnsi="Arial" w:cs="Arial"/>
                <w:sz w:val="16"/>
                <w:szCs w:val="16"/>
              </w:rPr>
              <w:t xml:space="preserve">Devedores Diversos </w:t>
            </w:r>
            <w:r w:rsidR="001A08B4">
              <w:rPr>
                <w:rFonts w:ascii="Arial" w:eastAsia="Times New Roman" w:hAnsi="Arial" w:cs="Arial"/>
                <w:sz w:val="16"/>
                <w:szCs w:val="16"/>
              </w:rPr>
              <w:t>–</w:t>
            </w:r>
            <w:r>
              <w:rPr>
                <w:rFonts w:ascii="Arial" w:eastAsia="Times New Roman" w:hAnsi="Arial" w:cs="Arial"/>
                <w:sz w:val="16"/>
                <w:szCs w:val="16"/>
              </w:rPr>
              <w:t xml:space="preserve"> País</w:t>
            </w:r>
            <w:r w:rsidR="001A08B4">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24F49" w14:textId="77777777" w:rsidR="00FE0C5A" w:rsidRDefault="000C18DB" w:rsidP="00F113BD">
            <w:pPr>
              <w:spacing w:after="0"/>
              <w:jc w:val="right"/>
              <w:rPr>
                <w:rFonts w:eastAsia="Times New Roman"/>
              </w:rPr>
            </w:pPr>
            <w:r>
              <w:rPr>
                <w:rFonts w:ascii="Arial" w:eastAsia="Times New Roman" w:hAnsi="Arial" w:cs="Arial"/>
                <w:sz w:val="16"/>
                <w:szCs w:val="16"/>
              </w:rPr>
              <w:t>34.217,08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87D6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0E3F7" w14:textId="77777777" w:rsidR="00FE0C5A" w:rsidRDefault="000C18DB" w:rsidP="00F113BD">
            <w:pPr>
              <w:spacing w:after="0"/>
              <w:jc w:val="right"/>
              <w:rPr>
                <w:rFonts w:eastAsia="Times New Roman"/>
              </w:rPr>
            </w:pPr>
            <w:r>
              <w:rPr>
                <w:rFonts w:ascii="Arial" w:eastAsia="Times New Roman" w:hAnsi="Arial" w:cs="Arial"/>
                <w:sz w:val="16"/>
                <w:szCs w:val="16"/>
              </w:rPr>
              <w:t>34.217,08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65000" w14:textId="77777777" w:rsidR="00FE0C5A" w:rsidRDefault="000C18DB" w:rsidP="00F113BD">
            <w:pPr>
              <w:spacing w:after="0"/>
              <w:jc w:val="right"/>
              <w:rPr>
                <w:rFonts w:eastAsia="Times New Roman"/>
              </w:rPr>
            </w:pPr>
            <w:r>
              <w:rPr>
                <w:rFonts w:ascii="Arial" w:eastAsia="Times New Roman" w:hAnsi="Arial" w:cs="Arial"/>
                <w:sz w:val="16"/>
                <w:szCs w:val="16"/>
              </w:rPr>
              <w:t>10.763,59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7DE99"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3822E" w14:textId="77777777" w:rsidR="00FE0C5A" w:rsidRDefault="000C18DB" w:rsidP="00F113BD">
            <w:pPr>
              <w:spacing w:after="0"/>
              <w:jc w:val="right"/>
              <w:rPr>
                <w:rFonts w:eastAsia="Times New Roman"/>
              </w:rPr>
            </w:pPr>
            <w:r>
              <w:rPr>
                <w:rFonts w:ascii="Arial" w:eastAsia="Times New Roman" w:hAnsi="Arial" w:cs="Arial"/>
                <w:sz w:val="16"/>
                <w:szCs w:val="16"/>
              </w:rPr>
              <w:t>10.763,59</w:t>
            </w:r>
          </w:p>
        </w:tc>
      </w:tr>
      <w:tr w:rsidR="00FE0C5A" w14:paraId="10B7F5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42C662" w14:textId="6B82A03F" w:rsidR="00FE0C5A" w:rsidRDefault="000C18DB" w:rsidP="00F113BD">
            <w:pPr>
              <w:spacing w:after="0"/>
              <w:rPr>
                <w:rFonts w:eastAsia="Times New Roman"/>
              </w:rPr>
            </w:pPr>
            <w:r>
              <w:rPr>
                <w:rFonts w:ascii="Arial" w:eastAsia="Times New Roman" w:hAnsi="Arial" w:cs="Arial"/>
                <w:sz w:val="16"/>
                <w:szCs w:val="16"/>
              </w:rPr>
              <w:t>Despesas Antecipadas</w:t>
            </w:r>
            <w:r w:rsidR="001A08B4">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186E1" w14:textId="77777777" w:rsidR="00FE0C5A" w:rsidRDefault="000C18DB" w:rsidP="00F113BD">
            <w:pPr>
              <w:spacing w:after="0"/>
              <w:jc w:val="right"/>
              <w:rPr>
                <w:rFonts w:eastAsia="Times New Roman"/>
              </w:rPr>
            </w:pPr>
            <w:r>
              <w:rPr>
                <w:rFonts w:ascii="Arial" w:eastAsia="Times New Roman" w:hAnsi="Arial" w:cs="Arial"/>
                <w:sz w:val="16"/>
                <w:szCs w:val="16"/>
              </w:rPr>
              <w:t>411.531,48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0211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1F712" w14:textId="77777777" w:rsidR="00FE0C5A" w:rsidRDefault="000C18DB" w:rsidP="00F113BD">
            <w:pPr>
              <w:spacing w:after="0"/>
              <w:jc w:val="right"/>
              <w:rPr>
                <w:rFonts w:eastAsia="Times New Roman"/>
              </w:rPr>
            </w:pPr>
            <w:r>
              <w:rPr>
                <w:rFonts w:ascii="Arial" w:eastAsia="Times New Roman" w:hAnsi="Arial" w:cs="Arial"/>
                <w:sz w:val="16"/>
                <w:szCs w:val="16"/>
              </w:rPr>
              <w:t>411.531,48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06295" w14:textId="77777777" w:rsidR="00FE0C5A" w:rsidRDefault="000C18DB" w:rsidP="00F113BD">
            <w:pPr>
              <w:spacing w:after="0"/>
              <w:jc w:val="right"/>
              <w:rPr>
                <w:rFonts w:eastAsia="Times New Roman"/>
              </w:rPr>
            </w:pPr>
            <w:r>
              <w:rPr>
                <w:rFonts w:ascii="Arial" w:eastAsia="Times New Roman" w:hAnsi="Arial" w:cs="Arial"/>
                <w:sz w:val="16"/>
                <w:szCs w:val="16"/>
              </w:rPr>
              <w:t>285.022,17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2971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C1B16" w14:textId="77777777" w:rsidR="00FE0C5A" w:rsidRDefault="000C18DB" w:rsidP="00F113BD">
            <w:pPr>
              <w:spacing w:after="0"/>
              <w:jc w:val="right"/>
              <w:rPr>
                <w:rFonts w:eastAsia="Times New Roman"/>
              </w:rPr>
            </w:pPr>
            <w:r>
              <w:rPr>
                <w:rFonts w:ascii="Arial" w:eastAsia="Times New Roman" w:hAnsi="Arial" w:cs="Arial"/>
                <w:sz w:val="16"/>
                <w:szCs w:val="16"/>
              </w:rPr>
              <w:t>285.022,17</w:t>
            </w:r>
          </w:p>
        </w:tc>
      </w:tr>
      <w:tr w:rsidR="00FE0C5A" w14:paraId="2ED74A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609F3D"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9D395" w14:textId="77777777" w:rsidR="00FE0C5A" w:rsidRDefault="000C18DB" w:rsidP="00F113BD">
            <w:pPr>
              <w:spacing w:after="0"/>
              <w:jc w:val="right"/>
              <w:rPr>
                <w:rFonts w:eastAsia="Times New Roman"/>
              </w:rPr>
            </w:pPr>
            <w:r>
              <w:rPr>
                <w:rFonts w:ascii="Arial" w:eastAsia="Times New Roman" w:hAnsi="Arial" w:cs="Arial"/>
                <w:b/>
                <w:bCs/>
                <w:sz w:val="16"/>
                <w:szCs w:val="16"/>
              </w:rPr>
              <w:t>711.686,80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6CEAC"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38AA2" w14:textId="77777777" w:rsidR="00FE0C5A" w:rsidRDefault="000C18DB" w:rsidP="00F113BD">
            <w:pPr>
              <w:spacing w:after="0"/>
              <w:jc w:val="right"/>
              <w:rPr>
                <w:rFonts w:eastAsia="Times New Roman"/>
              </w:rPr>
            </w:pPr>
            <w:r>
              <w:rPr>
                <w:rFonts w:ascii="Arial" w:eastAsia="Times New Roman" w:hAnsi="Arial" w:cs="Arial"/>
                <w:b/>
                <w:bCs/>
                <w:sz w:val="16"/>
                <w:szCs w:val="16"/>
              </w:rPr>
              <w:t>711.686,80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A1CC7" w14:textId="77777777" w:rsidR="00FE0C5A" w:rsidRDefault="000C18DB" w:rsidP="00F113BD">
            <w:pPr>
              <w:spacing w:after="0"/>
              <w:jc w:val="right"/>
              <w:rPr>
                <w:rFonts w:eastAsia="Times New Roman"/>
              </w:rPr>
            </w:pPr>
            <w:r>
              <w:rPr>
                <w:rFonts w:ascii="Arial" w:eastAsia="Times New Roman" w:hAnsi="Arial" w:cs="Arial"/>
                <w:b/>
                <w:bCs/>
                <w:sz w:val="16"/>
                <w:szCs w:val="16"/>
              </w:rPr>
              <w:t>506.278,00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ED369"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14A2C" w14:textId="77777777" w:rsidR="00FE0C5A" w:rsidRDefault="000C18DB" w:rsidP="00F113BD">
            <w:pPr>
              <w:spacing w:after="0"/>
              <w:jc w:val="right"/>
              <w:rPr>
                <w:rFonts w:eastAsia="Times New Roman"/>
              </w:rPr>
            </w:pPr>
            <w:r>
              <w:rPr>
                <w:rFonts w:ascii="Arial" w:eastAsia="Times New Roman" w:hAnsi="Arial" w:cs="Arial"/>
                <w:b/>
                <w:bCs/>
                <w:sz w:val="16"/>
                <w:szCs w:val="16"/>
              </w:rPr>
              <w:t>506.278,00</w:t>
            </w:r>
          </w:p>
        </w:tc>
      </w:tr>
    </w:tbl>
    <w:p w14:paraId="5519DA19" w14:textId="77777777" w:rsidR="00FE0C5A" w:rsidRDefault="000C18DB">
      <w:pPr>
        <w:pStyle w:val="NormalWeb"/>
        <w:jc w:val="both"/>
      </w:pPr>
      <w:r>
        <w:rPr>
          <w:rFonts w:ascii="Arial" w:hAnsi="Arial" w:cs="Arial"/>
          <w:sz w:val="20"/>
          <w:szCs w:val="20"/>
        </w:rPr>
        <w:t>(a) Em Devedores Diversos estão registrados:</w:t>
      </w:r>
    </w:p>
    <w:tbl>
      <w:tblPr>
        <w:tblW w:w="5000" w:type="pct"/>
        <w:tblCellMar>
          <w:left w:w="0" w:type="dxa"/>
          <w:right w:w="0" w:type="dxa"/>
        </w:tblCellMar>
        <w:tblLook w:val="04A0" w:firstRow="1" w:lastRow="0" w:firstColumn="1" w:lastColumn="0" w:noHBand="0" w:noVBand="1"/>
      </w:tblPr>
      <w:tblGrid>
        <w:gridCol w:w="3576"/>
        <w:gridCol w:w="958"/>
        <w:gridCol w:w="1375"/>
        <w:gridCol w:w="873"/>
        <w:gridCol w:w="958"/>
        <w:gridCol w:w="1375"/>
        <w:gridCol w:w="873"/>
      </w:tblGrid>
      <w:tr w:rsidR="00FE0C5A" w14:paraId="458794D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D0DD94"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D15133"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251AF2"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62344E6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D6627FD"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1908F9"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A203D"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3673B"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BF637"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153CD"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8C5AD"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36B2CE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B05CA6" w14:textId="77777777" w:rsidR="00FE0C5A" w:rsidRDefault="000C18DB" w:rsidP="00F113BD">
            <w:pPr>
              <w:spacing w:after="0"/>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F0B9F" w14:textId="77777777" w:rsidR="00FE0C5A" w:rsidRDefault="000C18DB" w:rsidP="00F113BD">
            <w:pPr>
              <w:spacing w:after="0"/>
              <w:jc w:val="right"/>
              <w:rPr>
                <w:rFonts w:eastAsia="Times New Roman"/>
              </w:rPr>
            </w:pPr>
            <w:r>
              <w:rPr>
                <w:rFonts w:ascii="Arial" w:eastAsia="Times New Roman" w:hAnsi="Arial" w:cs="Arial"/>
                <w:sz w:val="16"/>
                <w:szCs w:val="16"/>
              </w:rPr>
              <w:t>9.950,19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D98E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F63A1" w14:textId="77777777" w:rsidR="00FE0C5A" w:rsidRDefault="000C18DB" w:rsidP="00F113BD">
            <w:pPr>
              <w:spacing w:after="0"/>
              <w:jc w:val="right"/>
              <w:rPr>
                <w:rFonts w:eastAsia="Times New Roman"/>
              </w:rPr>
            </w:pPr>
            <w:r>
              <w:rPr>
                <w:rFonts w:ascii="Arial" w:eastAsia="Times New Roman" w:hAnsi="Arial" w:cs="Arial"/>
                <w:sz w:val="16"/>
                <w:szCs w:val="16"/>
              </w:rPr>
              <w:t>9.950,19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DFA8A" w14:textId="77777777" w:rsidR="00FE0C5A" w:rsidRDefault="000C18DB" w:rsidP="00F113BD">
            <w:pPr>
              <w:spacing w:after="0"/>
              <w:jc w:val="right"/>
              <w:rPr>
                <w:rFonts w:eastAsia="Times New Roman"/>
              </w:rPr>
            </w:pPr>
            <w:r>
              <w:rPr>
                <w:rFonts w:ascii="Arial" w:eastAsia="Times New Roman" w:hAnsi="Arial" w:cs="Arial"/>
                <w:sz w:val="16"/>
                <w:szCs w:val="16"/>
              </w:rPr>
              <w:t>515,42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1856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8AC32" w14:textId="77777777" w:rsidR="00FE0C5A" w:rsidRDefault="000C18DB" w:rsidP="00F113BD">
            <w:pPr>
              <w:spacing w:after="0"/>
              <w:jc w:val="right"/>
              <w:rPr>
                <w:rFonts w:eastAsia="Times New Roman"/>
              </w:rPr>
            </w:pPr>
            <w:r>
              <w:rPr>
                <w:rFonts w:ascii="Arial" w:eastAsia="Times New Roman" w:hAnsi="Arial" w:cs="Arial"/>
                <w:sz w:val="16"/>
                <w:szCs w:val="16"/>
              </w:rPr>
              <w:t>515,42</w:t>
            </w:r>
          </w:p>
        </w:tc>
      </w:tr>
      <w:tr w:rsidR="00FE0C5A" w14:paraId="1211C6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B884D5" w14:textId="77777777" w:rsidR="00FE0C5A" w:rsidRDefault="000C18DB" w:rsidP="00F113BD">
            <w:pPr>
              <w:spacing w:after="0"/>
              <w:rPr>
                <w:rFonts w:eastAsia="Times New Roman"/>
              </w:rPr>
            </w:pPr>
            <w:r>
              <w:rPr>
                <w:rFonts w:ascii="Arial" w:eastAsia="Times New Roman" w:hAnsi="Arial" w:cs="Arial"/>
                <w:sz w:val="16"/>
                <w:szCs w:val="16"/>
              </w:rPr>
              <w:t>Seguros Contratados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C9E18" w14:textId="77777777" w:rsidR="00FE0C5A" w:rsidRDefault="000C18DB" w:rsidP="00F113BD">
            <w:pPr>
              <w:spacing w:after="0"/>
              <w:jc w:val="right"/>
              <w:rPr>
                <w:rFonts w:eastAsia="Times New Roman"/>
              </w:rPr>
            </w:pPr>
            <w:r>
              <w:rPr>
                <w:rFonts w:ascii="Arial" w:eastAsia="Times New Roman" w:hAnsi="Arial" w:cs="Arial"/>
                <w:sz w:val="16"/>
                <w:szCs w:val="16"/>
              </w:rPr>
              <w:t>42,53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9D9D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6956D" w14:textId="77777777" w:rsidR="00FE0C5A" w:rsidRDefault="000C18DB" w:rsidP="00F113BD">
            <w:pPr>
              <w:spacing w:after="0"/>
              <w:jc w:val="right"/>
              <w:rPr>
                <w:rFonts w:eastAsia="Times New Roman"/>
              </w:rPr>
            </w:pPr>
            <w:r>
              <w:rPr>
                <w:rFonts w:ascii="Arial" w:eastAsia="Times New Roman" w:hAnsi="Arial" w:cs="Arial"/>
                <w:sz w:val="16"/>
                <w:szCs w:val="16"/>
              </w:rPr>
              <w:t>42,53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F304A" w14:textId="77777777" w:rsidR="00FE0C5A" w:rsidRDefault="000C18DB" w:rsidP="00F113BD">
            <w:pPr>
              <w:spacing w:after="0"/>
              <w:jc w:val="right"/>
              <w:rPr>
                <w:rFonts w:eastAsia="Times New Roman"/>
              </w:rPr>
            </w:pPr>
            <w:r>
              <w:rPr>
                <w:rFonts w:ascii="Arial" w:eastAsia="Times New Roman" w:hAnsi="Arial" w:cs="Arial"/>
                <w:sz w:val="16"/>
                <w:szCs w:val="16"/>
              </w:rPr>
              <w:t>42,53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C81D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DF1CB" w14:textId="77777777" w:rsidR="00FE0C5A" w:rsidRDefault="000C18DB" w:rsidP="00F113BD">
            <w:pPr>
              <w:spacing w:after="0"/>
              <w:jc w:val="right"/>
              <w:rPr>
                <w:rFonts w:eastAsia="Times New Roman"/>
              </w:rPr>
            </w:pPr>
            <w:r>
              <w:rPr>
                <w:rFonts w:ascii="Arial" w:eastAsia="Times New Roman" w:hAnsi="Arial" w:cs="Arial"/>
                <w:sz w:val="16"/>
                <w:szCs w:val="16"/>
              </w:rPr>
              <w:t>42,53</w:t>
            </w:r>
          </w:p>
        </w:tc>
      </w:tr>
      <w:tr w:rsidR="00FE0C5A" w14:paraId="1367CA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FF8ABA" w14:textId="77777777" w:rsidR="00FE0C5A" w:rsidRDefault="000C18DB" w:rsidP="00F113BD">
            <w:pPr>
              <w:spacing w:after="0"/>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9DE08" w14:textId="77777777" w:rsidR="00FE0C5A" w:rsidRDefault="000C18DB" w:rsidP="00F113BD">
            <w:pPr>
              <w:spacing w:after="0"/>
              <w:jc w:val="right"/>
              <w:rPr>
                <w:rFonts w:eastAsia="Times New Roman"/>
              </w:rPr>
            </w:pPr>
            <w:r>
              <w:rPr>
                <w:rFonts w:ascii="Arial" w:eastAsia="Times New Roman" w:hAnsi="Arial" w:cs="Arial"/>
                <w:sz w:val="16"/>
                <w:szCs w:val="16"/>
              </w:rPr>
              <w:t>8.775,98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7B84B"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5D17E" w14:textId="77777777" w:rsidR="00FE0C5A" w:rsidRDefault="000C18DB" w:rsidP="00F113BD">
            <w:pPr>
              <w:spacing w:after="0"/>
              <w:jc w:val="right"/>
              <w:rPr>
                <w:rFonts w:eastAsia="Times New Roman"/>
              </w:rPr>
            </w:pPr>
            <w:r>
              <w:rPr>
                <w:rFonts w:ascii="Arial" w:eastAsia="Times New Roman" w:hAnsi="Arial" w:cs="Arial"/>
                <w:sz w:val="16"/>
                <w:szCs w:val="16"/>
              </w:rPr>
              <w:t>8.775,98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283B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5205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65717"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799559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D60C1D" w14:textId="77777777" w:rsidR="00FE0C5A" w:rsidRDefault="000C18DB" w:rsidP="00F113BD">
            <w:pPr>
              <w:spacing w:after="0"/>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B64CB" w14:textId="77777777" w:rsidR="00FE0C5A" w:rsidRDefault="000C18DB" w:rsidP="00F113BD">
            <w:pPr>
              <w:spacing w:after="0"/>
              <w:jc w:val="right"/>
              <w:rPr>
                <w:rFonts w:eastAsia="Times New Roman"/>
              </w:rPr>
            </w:pPr>
            <w:r>
              <w:rPr>
                <w:rFonts w:ascii="Arial" w:eastAsia="Times New Roman" w:hAnsi="Arial" w:cs="Arial"/>
                <w:sz w:val="16"/>
                <w:szCs w:val="16"/>
              </w:rPr>
              <w:t>12.271,02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6725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CA4EF" w14:textId="77777777" w:rsidR="00FE0C5A" w:rsidRDefault="000C18DB" w:rsidP="00F113BD">
            <w:pPr>
              <w:spacing w:after="0"/>
              <w:jc w:val="right"/>
              <w:rPr>
                <w:rFonts w:eastAsia="Times New Roman"/>
              </w:rPr>
            </w:pPr>
            <w:r>
              <w:rPr>
                <w:rFonts w:ascii="Arial" w:eastAsia="Times New Roman" w:hAnsi="Arial" w:cs="Arial"/>
                <w:sz w:val="16"/>
                <w:szCs w:val="16"/>
              </w:rPr>
              <w:t>12.271,02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022F1" w14:textId="77777777" w:rsidR="00FE0C5A" w:rsidRDefault="000C18DB" w:rsidP="00F113BD">
            <w:pPr>
              <w:spacing w:after="0"/>
              <w:jc w:val="right"/>
              <w:rPr>
                <w:rFonts w:eastAsia="Times New Roman"/>
              </w:rPr>
            </w:pPr>
            <w:r>
              <w:rPr>
                <w:rFonts w:ascii="Arial" w:eastAsia="Times New Roman" w:hAnsi="Arial" w:cs="Arial"/>
                <w:sz w:val="16"/>
                <w:szCs w:val="16"/>
              </w:rPr>
              <w:t>9.956,00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9414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A36CE" w14:textId="77777777" w:rsidR="00FE0C5A" w:rsidRDefault="000C18DB" w:rsidP="00F113BD">
            <w:pPr>
              <w:spacing w:after="0"/>
              <w:jc w:val="right"/>
              <w:rPr>
                <w:rFonts w:eastAsia="Times New Roman"/>
              </w:rPr>
            </w:pPr>
            <w:r>
              <w:rPr>
                <w:rFonts w:ascii="Arial" w:eastAsia="Times New Roman" w:hAnsi="Arial" w:cs="Arial"/>
                <w:sz w:val="16"/>
                <w:szCs w:val="16"/>
              </w:rPr>
              <w:t>9.956,00</w:t>
            </w:r>
          </w:p>
        </w:tc>
      </w:tr>
      <w:tr w:rsidR="00FE0C5A" w14:paraId="5652DB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A696F5" w14:textId="77777777" w:rsidR="00FE0C5A" w:rsidRDefault="000C18DB" w:rsidP="00F113BD">
            <w:pPr>
              <w:spacing w:after="0"/>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A1D15" w14:textId="77777777" w:rsidR="00FE0C5A" w:rsidRDefault="000C18DB" w:rsidP="00F113BD">
            <w:pPr>
              <w:spacing w:after="0"/>
              <w:jc w:val="right"/>
              <w:rPr>
                <w:rFonts w:eastAsia="Times New Roman"/>
              </w:rPr>
            </w:pPr>
            <w:r>
              <w:rPr>
                <w:rFonts w:ascii="Arial" w:eastAsia="Times New Roman" w:hAnsi="Arial" w:cs="Arial"/>
                <w:sz w:val="16"/>
                <w:szCs w:val="16"/>
              </w:rPr>
              <w:t>2.918,99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A6DA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D2390" w14:textId="77777777" w:rsidR="00FE0C5A" w:rsidRDefault="000C18DB" w:rsidP="00F113BD">
            <w:pPr>
              <w:spacing w:after="0"/>
              <w:jc w:val="right"/>
              <w:rPr>
                <w:rFonts w:eastAsia="Times New Roman"/>
              </w:rPr>
            </w:pPr>
            <w:r>
              <w:rPr>
                <w:rFonts w:ascii="Arial" w:eastAsia="Times New Roman" w:hAnsi="Arial" w:cs="Arial"/>
                <w:sz w:val="16"/>
                <w:szCs w:val="16"/>
              </w:rPr>
              <w:t>2.918,99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A363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F7D5A"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8D291"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5E01F9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C2048A" w14:textId="77777777" w:rsidR="00FE0C5A" w:rsidRDefault="000C18DB" w:rsidP="00F113BD">
            <w:pPr>
              <w:spacing w:after="0"/>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4FEAC" w14:textId="77777777" w:rsidR="00FE0C5A" w:rsidRDefault="000C18DB" w:rsidP="00F113BD">
            <w:pPr>
              <w:spacing w:after="0"/>
              <w:jc w:val="right"/>
              <w:rPr>
                <w:rFonts w:eastAsia="Times New Roman"/>
              </w:rPr>
            </w:pPr>
            <w:r>
              <w:rPr>
                <w:rFonts w:ascii="Arial" w:eastAsia="Times New Roman" w:hAnsi="Arial" w:cs="Arial"/>
                <w:sz w:val="16"/>
                <w:szCs w:val="16"/>
              </w:rPr>
              <w:t>258,37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ACC79"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31C71" w14:textId="77777777" w:rsidR="00FE0C5A" w:rsidRDefault="000C18DB" w:rsidP="00F113BD">
            <w:pPr>
              <w:spacing w:after="0"/>
              <w:jc w:val="right"/>
              <w:rPr>
                <w:rFonts w:eastAsia="Times New Roman"/>
              </w:rPr>
            </w:pPr>
            <w:r>
              <w:rPr>
                <w:rFonts w:ascii="Arial" w:eastAsia="Times New Roman" w:hAnsi="Arial" w:cs="Arial"/>
                <w:sz w:val="16"/>
                <w:szCs w:val="16"/>
              </w:rPr>
              <w:t>258,37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6F6C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57D4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37F28"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65D29A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C4C0CF" w14:textId="77777777" w:rsidR="00FE0C5A" w:rsidRDefault="000C18DB" w:rsidP="00F113BD">
            <w:pPr>
              <w:spacing w:after="0"/>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5788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D96C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E31E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E1EA5" w14:textId="77777777" w:rsidR="00FE0C5A" w:rsidRDefault="000C18DB" w:rsidP="00F113BD">
            <w:pPr>
              <w:spacing w:after="0"/>
              <w:jc w:val="right"/>
              <w:rPr>
                <w:rFonts w:eastAsia="Times New Roman"/>
              </w:rPr>
            </w:pPr>
            <w:r>
              <w:rPr>
                <w:rFonts w:ascii="Arial" w:eastAsia="Times New Roman" w:hAnsi="Arial" w:cs="Arial"/>
                <w:sz w:val="16"/>
                <w:szCs w:val="16"/>
              </w:rPr>
              <w:t>249,64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AA02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7D1D" w14:textId="77777777" w:rsidR="00FE0C5A" w:rsidRDefault="000C18DB" w:rsidP="00F113BD">
            <w:pPr>
              <w:spacing w:after="0"/>
              <w:jc w:val="right"/>
              <w:rPr>
                <w:rFonts w:eastAsia="Times New Roman"/>
              </w:rPr>
            </w:pPr>
            <w:r>
              <w:rPr>
                <w:rFonts w:ascii="Arial" w:eastAsia="Times New Roman" w:hAnsi="Arial" w:cs="Arial"/>
                <w:sz w:val="16"/>
                <w:szCs w:val="16"/>
              </w:rPr>
              <w:t>249,64</w:t>
            </w:r>
          </w:p>
        </w:tc>
      </w:tr>
      <w:tr w:rsidR="00FE0C5A" w14:paraId="26989B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8E4452"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FEFE7" w14:textId="77777777" w:rsidR="00FE0C5A" w:rsidRDefault="000C18DB" w:rsidP="00F113BD">
            <w:pPr>
              <w:spacing w:after="0"/>
              <w:jc w:val="right"/>
              <w:rPr>
                <w:rFonts w:eastAsia="Times New Roman"/>
              </w:rPr>
            </w:pPr>
            <w:r>
              <w:rPr>
                <w:rFonts w:ascii="Arial" w:eastAsia="Times New Roman" w:hAnsi="Arial" w:cs="Arial"/>
                <w:b/>
                <w:bCs/>
                <w:sz w:val="16"/>
                <w:szCs w:val="16"/>
              </w:rPr>
              <w:t>34.217,08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36342"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3BC02" w14:textId="77777777" w:rsidR="00FE0C5A" w:rsidRDefault="000C18DB" w:rsidP="00F113BD">
            <w:pPr>
              <w:spacing w:after="0"/>
              <w:jc w:val="right"/>
              <w:rPr>
                <w:rFonts w:eastAsia="Times New Roman"/>
              </w:rPr>
            </w:pPr>
            <w:r>
              <w:rPr>
                <w:rFonts w:ascii="Arial" w:eastAsia="Times New Roman" w:hAnsi="Arial" w:cs="Arial"/>
                <w:b/>
                <w:bCs/>
                <w:sz w:val="16"/>
                <w:szCs w:val="16"/>
              </w:rPr>
              <w:t>34.217,08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07B2F" w14:textId="77777777" w:rsidR="00FE0C5A" w:rsidRDefault="000C18DB" w:rsidP="00F113BD">
            <w:pPr>
              <w:spacing w:after="0"/>
              <w:jc w:val="right"/>
              <w:rPr>
                <w:rFonts w:eastAsia="Times New Roman"/>
              </w:rPr>
            </w:pPr>
            <w:r>
              <w:rPr>
                <w:rFonts w:ascii="Arial" w:eastAsia="Times New Roman" w:hAnsi="Arial" w:cs="Arial"/>
                <w:b/>
                <w:bCs/>
                <w:sz w:val="16"/>
                <w:szCs w:val="16"/>
              </w:rPr>
              <w:t>10.763,59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2879F"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9DEE5" w14:textId="77777777" w:rsidR="00FE0C5A" w:rsidRDefault="000C18DB" w:rsidP="00F113BD">
            <w:pPr>
              <w:spacing w:after="0"/>
              <w:jc w:val="right"/>
              <w:rPr>
                <w:rFonts w:eastAsia="Times New Roman"/>
              </w:rPr>
            </w:pPr>
            <w:r>
              <w:rPr>
                <w:rFonts w:ascii="Arial" w:eastAsia="Times New Roman" w:hAnsi="Arial" w:cs="Arial"/>
                <w:b/>
                <w:bCs/>
                <w:sz w:val="16"/>
                <w:szCs w:val="16"/>
              </w:rPr>
              <w:t>10.763,59</w:t>
            </w:r>
          </w:p>
        </w:tc>
      </w:tr>
    </w:tbl>
    <w:p w14:paraId="14DA2F82" w14:textId="4E483B6F" w:rsidR="00FE0C5A" w:rsidRDefault="000C18DB">
      <w:pPr>
        <w:pStyle w:val="NormalWeb"/>
        <w:jc w:val="both"/>
      </w:pPr>
      <w:r>
        <w:rPr>
          <w:rFonts w:ascii="Arial" w:hAnsi="Arial" w:cs="Arial"/>
          <w:sz w:val="20"/>
          <w:szCs w:val="20"/>
        </w:rPr>
        <w:t>(</w:t>
      </w:r>
      <w:r w:rsidR="001A08B4">
        <w:rPr>
          <w:rFonts w:ascii="Arial" w:hAnsi="Arial" w:cs="Arial"/>
          <w:sz w:val="20"/>
          <w:szCs w:val="20"/>
        </w:rPr>
        <w:t>b</w:t>
      </w:r>
      <w:r>
        <w:rPr>
          <w:rFonts w:ascii="Arial" w:hAnsi="Arial" w:cs="Arial"/>
          <w:sz w:val="20"/>
          <w:szCs w:val="20"/>
        </w:rPr>
        <w:t xml:space="preserve">) </w:t>
      </w:r>
      <w:r>
        <w:rPr>
          <w:rFonts w:ascii="Arial" w:hAnsi="Arial" w:cs="Arial"/>
          <w:sz w:val="20"/>
          <w:szCs w:val="20"/>
        </w:rPr>
        <w:t>Registram-se ainda no grupo, as despesas antecipadas, referentes aos prêmios de seguros, contribuição cooperativista, IPTU, entre outras.</w:t>
      </w:r>
    </w:p>
    <w:p w14:paraId="3851B029" w14:textId="10867CAD" w:rsidR="00FE0C5A" w:rsidRDefault="001A08B4">
      <w:pPr>
        <w:pStyle w:val="NormalWeb"/>
        <w:jc w:val="both"/>
      </w:pPr>
      <w:r>
        <w:rPr>
          <w:rFonts w:ascii="Arial" w:hAnsi="Arial" w:cs="Arial"/>
          <w:b/>
          <w:bCs/>
          <w:sz w:val="20"/>
          <w:szCs w:val="20"/>
        </w:rPr>
        <w:lastRenderedPageBreak/>
        <w:t>11. Imobilizado de Uso</w:t>
      </w:r>
    </w:p>
    <w:p w14:paraId="30DFD8C8" w14:textId="77777777" w:rsidR="00FE0C5A" w:rsidRDefault="000C18DB">
      <w:pPr>
        <w:pStyle w:val="NormalWeb"/>
        <w:jc w:val="both"/>
      </w:pPr>
      <w:r>
        <w:rPr>
          <w:rFonts w:ascii="Arial" w:hAnsi="Arial" w:cs="Arial"/>
          <w:sz w:val="20"/>
          <w:szCs w:val="20"/>
        </w:rPr>
        <w:t>Em 31 de dezembro de 2023 e 2022, o imobilizado de uso estão assim compostos:</w:t>
      </w:r>
    </w:p>
    <w:tbl>
      <w:tblPr>
        <w:tblW w:w="5000" w:type="pct"/>
        <w:tblCellMar>
          <w:left w:w="0" w:type="dxa"/>
          <w:right w:w="0" w:type="dxa"/>
        </w:tblCellMar>
        <w:tblLook w:val="04A0" w:firstRow="1" w:lastRow="0" w:firstColumn="1" w:lastColumn="0" w:noHBand="0" w:noVBand="1"/>
      </w:tblPr>
      <w:tblGrid>
        <w:gridCol w:w="5288"/>
        <w:gridCol w:w="1844"/>
        <w:gridCol w:w="1428"/>
        <w:gridCol w:w="1428"/>
      </w:tblGrid>
      <w:tr w:rsidR="00FE0C5A" w14:paraId="5C962B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949885"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BF9DD" w14:textId="77777777" w:rsidR="00FE0C5A" w:rsidRDefault="000C18DB" w:rsidP="00F113BD">
            <w:pPr>
              <w:spacing w:after="0"/>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D5B11"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B7577"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4CC816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09DC5D" w14:textId="0FF1649C" w:rsidR="00FE0C5A" w:rsidRDefault="000C18DB" w:rsidP="00F113BD">
            <w:pPr>
              <w:spacing w:after="0"/>
              <w:rPr>
                <w:rFonts w:eastAsia="Times New Roman"/>
              </w:rPr>
            </w:pPr>
            <w:r>
              <w:rPr>
                <w:rFonts w:ascii="Arial" w:eastAsia="Times New Roman" w:hAnsi="Arial" w:cs="Arial"/>
                <w:sz w:val="16"/>
                <w:szCs w:val="16"/>
              </w:rPr>
              <w:t>Imobilizado em Curso</w:t>
            </w:r>
            <w:r w:rsidR="001A08B4">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785E4"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87F2E" w14:textId="77777777" w:rsidR="00FE0C5A" w:rsidRDefault="000C18DB" w:rsidP="00F113BD">
            <w:pPr>
              <w:spacing w:after="0"/>
              <w:jc w:val="right"/>
              <w:rPr>
                <w:rFonts w:eastAsia="Times New Roman"/>
              </w:rPr>
            </w:pPr>
            <w:r>
              <w:rPr>
                <w:rFonts w:ascii="Arial" w:eastAsia="Times New Roman" w:hAnsi="Arial" w:cs="Arial"/>
                <w:sz w:val="16"/>
                <w:szCs w:val="16"/>
              </w:rPr>
              <w:t>217.044,33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3CB39" w14:textId="77777777" w:rsidR="00FE0C5A" w:rsidRDefault="000C18DB" w:rsidP="00F113BD">
            <w:pPr>
              <w:spacing w:after="0"/>
              <w:jc w:val="right"/>
              <w:rPr>
                <w:rFonts w:eastAsia="Times New Roman"/>
              </w:rPr>
            </w:pPr>
            <w:r>
              <w:rPr>
                <w:rFonts w:ascii="Arial" w:eastAsia="Times New Roman" w:hAnsi="Arial" w:cs="Arial"/>
                <w:sz w:val="16"/>
                <w:szCs w:val="16"/>
              </w:rPr>
              <w:t>2.484.534,60</w:t>
            </w:r>
          </w:p>
        </w:tc>
      </w:tr>
      <w:tr w:rsidR="00FE0C5A" w14:paraId="23FFF0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117A2A" w14:textId="77777777" w:rsidR="00FE0C5A" w:rsidRDefault="000C18DB" w:rsidP="00F113BD">
            <w:pPr>
              <w:spacing w:after="0"/>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86EEE"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1479DA" w14:textId="77777777" w:rsidR="00FE0C5A" w:rsidRDefault="000C18DB" w:rsidP="00F113BD">
            <w:pPr>
              <w:spacing w:after="0"/>
              <w:jc w:val="right"/>
              <w:rPr>
                <w:rFonts w:eastAsia="Times New Roman"/>
              </w:rPr>
            </w:pPr>
            <w:r>
              <w:rPr>
                <w:rFonts w:ascii="Arial" w:eastAsia="Times New Roman" w:hAnsi="Arial" w:cs="Arial"/>
                <w:sz w:val="16"/>
                <w:szCs w:val="16"/>
              </w:rPr>
              <w:t>560.000,00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36E6C" w14:textId="77777777" w:rsidR="00FE0C5A" w:rsidRDefault="000C18DB" w:rsidP="00F113BD">
            <w:pPr>
              <w:spacing w:after="0"/>
              <w:jc w:val="right"/>
              <w:rPr>
                <w:rFonts w:eastAsia="Times New Roman"/>
              </w:rPr>
            </w:pPr>
            <w:r>
              <w:rPr>
                <w:rFonts w:ascii="Arial" w:eastAsia="Times New Roman" w:hAnsi="Arial" w:cs="Arial"/>
                <w:sz w:val="16"/>
                <w:szCs w:val="16"/>
              </w:rPr>
              <w:t>560.000,00</w:t>
            </w:r>
          </w:p>
        </w:tc>
      </w:tr>
      <w:tr w:rsidR="00FE0C5A" w14:paraId="377DEB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CCE5E4" w14:textId="77777777" w:rsidR="00FE0C5A" w:rsidRDefault="000C18DB" w:rsidP="00F113BD">
            <w:pPr>
              <w:spacing w:after="0"/>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C1659" w14:textId="77777777" w:rsidR="00FE0C5A" w:rsidRDefault="000C18DB" w:rsidP="00F113BD">
            <w:pPr>
              <w:spacing w:after="0"/>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228DA" w14:textId="77777777" w:rsidR="00FE0C5A" w:rsidRDefault="000C18DB" w:rsidP="00F113BD">
            <w:pPr>
              <w:spacing w:after="0"/>
              <w:jc w:val="right"/>
              <w:rPr>
                <w:rFonts w:eastAsia="Times New Roman"/>
              </w:rPr>
            </w:pPr>
            <w:r>
              <w:rPr>
                <w:rFonts w:ascii="Arial" w:eastAsia="Times New Roman" w:hAnsi="Arial" w:cs="Arial"/>
                <w:sz w:val="16"/>
                <w:szCs w:val="16"/>
              </w:rPr>
              <w:t>4.373.692,19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608D6" w14:textId="77777777" w:rsidR="00FE0C5A" w:rsidRDefault="000C18DB" w:rsidP="00F113BD">
            <w:pPr>
              <w:spacing w:after="0"/>
              <w:jc w:val="right"/>
              <w:rPr>
                <w:rFonts w:eastAsia="Times New Roman"/>
              </w:rPr>
            </w:pPr>
            <w:r>
              <w:rPr>
                <w:rFonts w:ascii="Arial" w:eastAsia="Times New Roman" w:hAnsi="Arial" w:cs="Arial"/>
                <w:sz w:val="16"/>
                <w:szCs w:val="16"/>
              </w:rPr>
              <w:t>2.376.907,12</w:t>
            </w:r>
          </w:p>
        </w:tc>
      </w:tr>
      <w:tr w:rsidR="00FE0C5A" w14:paraId="5E5495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B4440F" w14:textId="77777777" w:rsidR="00FE0C5A" w:rsidRDefault="000C18DB" w:rsidP="00F113BD">
            <w:pPr>
              <w:spacing w:after="0"/>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3F96C" w14:textId="77777777" w:rsidR="00FE0C5A" w:rsidRDefault="000C18DB" w:rsidP="00F113BD">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47562" w14:textId="77777777" w:rsidR="00FE0C5A" w:rsidRDefault="000C18DB" w:rsidP="00F113BD">
            <w:pPr>
              <w:spacing w:after="0"/>
              <w:jc w:val="right"/>
              <w:rPr>
                <w:rFonts w:eastAsia="Times New Roman"/>
              </w:rPr>
            </w:pPr>
            <w:r>
              <w:rPr>
                <w:rFonts w:ascii="Arial" w:eastAsia="Times New Roman" w:hAnsi="Arial" w:cs="Arial"/>
                <w:sz w:val="16"/>
                <w:szCs w:val="16"/>
              </w:rPr>
              <w:t>100.440,00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7FF93" w14:textId="77777777" w:rsidR="00FE0C5A" w:rsidRDefault="000C18DB" w:rsidP="00F113BD">
            <w:pPr>
              <w:spacing w:after="0"/>
              <w:jc w:val="right"/>
              <w:rPr>
                <w:rFonts w:eastAsia="Times New Roman"/>
              </w:rPr>
            </w:pPr>
            <w:r>
              <w:rPr>
                <w:rFonts w:ascii="Arial" w:eastAsia="Times New Roman" w:hAnsi="Arial" w:cs="Arial"/>
                <w:sz w:val="16"/>
                <w:szCs w:val="16"/>
              </w:rPr>
              <w:t>106.364,00</w:t>
            </w:r>
          </w:p>
        </w:tc>
      </w:tr>
      <w:tr w:rsidR="00FE0C5A" w14:paraId="755CDE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F73286" w14:textId="77777777" w:rsidR="00FE0C5A" w:rsidRDefault="000C18DB" w:rsidP="00F113BD">
            <w:pPr>
              <w:spacing w:after="0"/>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A2A47" w14:textId="77777777" w:rsidR="00FE0C5A" w:rsidRDefault="000C18DB" w:rsidP="00F113BD">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4B958" w14:textId="77777777" w:rsidR="00FE0C5A" w:rsidRDefault="000C18DB" w:rsidP="00F113BD">
            <w:pPr>
              <w:spacing w:after="0"/>
              <w:jc w:val="right"/>
              <w:rPr>
                <w:rFonts w:eastAsia="Times New Roman"/>
              </w:rPr>
            </w:pPr>
            <w:r>
              <w:rPr>
                <w:rFonts w:ascii="Arial" w:eastAsia="Times New Roman" w:hAnsi="Arial" w:cs="Arial"/>
                <w:sz w:val="16"/>
                <w:szCs w:val="16"/>
              </w:rPr>
              <w:t>1.549.289,32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70664" w14:textId="77777777" w:rsidR="00FE0C5A" w:rsidRDefault="000C18DB" w:rsidP="00F113BD">
            <w:pPr>
              <w:spacing w:after="0"/>
              <w:jc w:val="right"/>
              <w:rPr>
                <w:rFonts w:eastAsia="Times New Roman"/>
              </w:rPr>
            </w:pPr>
            <w:r>
              <w:rPr>
                <w:rFonts w:ascii="Arial" w:eastAsia="Times New Roman" w:hAnsi="Arial" w:cs="Arial"/>
                <w:sz w:val="16"/>
                <w:szCs w:val="16"/>
              </w:rPr>
              <w:t>1.006.095,95</w:t>
            </w:r>
          </w:p>
        </w:tc>
      </w:tr>
      <w:tr w:rsidR="00FE0C5A" w14:paraId="34B971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C7443D" w14:textId="77777777" w:rsidR="00FE0C5A" w:rsidRDefault="000C18DB" w:rsidP="00F113BD">
            <w:pPr>
              <w:spacing w:after="0"/>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18126" w14:textId="77777777" w:rsidR="00FE0C5A" w:rsidRDefault="000C18DB" w:rsidP="00F113BD">
            <w:pPr>
              <w:spacing w:after="0"/>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44FFE" w14:textId="77777777" w:rsidR="00FE0C5A" w:rsidRDefault="000C18DB" w:rsidP="00F113BD">
            <w:pPr>
              <w:spacing w:after="0"/>
              <w:jc w:val="right"/>
              <w:rPr>
                <w:rFonts w:eastAsia="Times New Roman"/>
              </w:rPr>
            </w:pPr>
            <w:r>
              <w:rPr>
                <w:rFonts w:ascii="Arial" w:eastAsia="Times New Roman" w:hAnsi="Arial" w:cs="Arial"/>
                <w:sz w:val="16"/>
                <w:szCs w:val="16"/>
              </w:rPr>
              <w:t>1.630.181,38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D9E29" w14:textId="77777777" w:rsidR="00FE0C5A" w:rsidRDefault="000C18DB" w:rsidP="00F113BD">
            <w:pPr>
              <w:spacing w:after="0"/>
              <w:jc w:val="right"/>
              <w:rPr>
                <w:rFonts w:eastAsia="Times New Roman"/>
              </w:rPr>
            </w:pPr>
            <w:r>
              <w:rPr>
                <w:rFonts w:ascii="Arial" w:eastAsia="Times New Roman" w:hAnsi="Arial" w:cs="Arial"/>
                <w:sz w:val="16"/>
                <w:szCs w:val="16"/>
              </w:rPr>
              <w:t>1.343.543,83</w:t>
            </w:r>
          </w:p>
        </w:tc>
      </w:tr>
      <w:tr w:rsidR="00FE0C5A" w14:paraId="524272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401C1D" w14:textId="77777777" w:rsidR="00FE0C5A" w:rsidRDefault="000C18DB" w:rsidP="00F113BD">
            <w:pPr>
              <w:spacing w:after="0"/>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35802" w14:textId="77777777" w:rsidR="00FE0C5A" w:rsidRDefault="000C18DB" w:rsidP="00F113BD">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4058A" w14:textId="77777777" w:rsidR="00FE0C5A" w:rsidRDefault="000C18DB" w:rsidP="00F113BD">
            <w:pPr>
              <w:spacing w:after="0"/>
              <w:jc w:val="right"/>
              <w:rPr>
                <w:rFonts w:eastAsia="Times New Roman"/>
              </w:rPr>
            </w:pPr>
            <w:r>
              <w:rPr>
                <w:rFonts w:ascii="Arial" w:eastAsia="Times New Roman" w:hAnsi="Arial" w:cs="Arial"/>
                <w:sz w:val="16"/>
                <w:szCs w:val="16"/>
              </w:rPr>
              <w:t>195.134,73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55D8B" w14:textId="77777777" w:rsidR="00FE0C5A" w:rsidRDefault="000C18DB" w:rsidP="00F113BD">
            <w:pPr>
              <w:spacing w:after="0"/>
              <w:jc w:val="right"/>
              <w:rPr>
                <w:rFonts w:eastAsia="Times New Roman"/>
              </w:rPr>
            </w:pPr>
            <w:r>
              <w:rPr>
                <w:rFonts w:ascii="Arial" w:eastAsia="Times New Roman" w:hAnsi="Arial" w:cs="Arial"/>
                <w:sz w:val="16"/>
                <w:szCs w:val="16"/>
              </w:rPr>
              <w:t>155.805,37</w:t>
            </w:r>
          </w:p>
        </w:tc>
      </w:tr>
      <w:tr w:rsidR="00FE0C5A" w14:paraId="0BD1D1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2578B5" w14:textId="77777777" w:rsidR="00FE0C5A" w:rsidRDefault="000C18DB" w:rsidP="00F113BD">
            <w:pPr>
              <w:spacing w:after="0"/>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49CD4" w14:textId="77777777" w:rsidR="00FE0C5A" w:rsidRDefault="000C18DB" w:rsidP="00F113BD">
            <w:pPr>
              <w:spacing w:after="0"/>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1727D" w14:textId="77777777" w:rsidR="00FE0C5A" w:rsidRDefault="000C18DB" w:rsidP="00F113BD">
            <w:pPr>
              <w:spacing w:after="0"/>
              <w:jc w:val="right"/>
              <w:rPr>
                <w:rFonts w:eastAsia="Times New Roman"/>
              </w:rPr>
            </w:pPr>
            <w:r>
              <w:rPr>
                <w:rFonts w:ascii="Arial" w:eastAsia="Times New Roman" w:hAnsi="Arial" w:cs="Arial"/>
                <w:sz w:val="16"/>
                <w:szCs w:val="16"/>
              </w:rPr>
              <w:t>254.759,64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220D1" w14:textId="77777777" w:rsidR="00FE0C5A" w:rsidRDefault="000C18DB" w:rsidP="00F113BD">
            <w:pPr>
              <w:spacing w:after="0"/>
              <w:jc w:val="right"/>
              <w:rPr>
                <w:rFonts w:eastAsia="Times New Roman"/>
              </w:rPr>
            </w:pPr>
            <w:r>
              <w:rPr>
                <w:rFonts w:ascii="Arial" w:eastAsia="Times New Roman" w:hAnsi="Arial" w:cs="Arial"/>
                <w:sz w:val="16"/>
                <w:szCs w:val="16"/>
              </w:rPr>
              <w:t>148.558,44</w:t>
            </w:r>
          </w:p>
        </w:tc>
      </w:tr>
      <w:tr w:rsidR="00FE0C5A" w14:paraId="1C993A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718525" w14:textId="77777777" w:rsidR="00FE0C5A" w:rsidRDefault="000C18DB" w:rsidP="00F113BD">
            <w:pPr>
              <w:spacing w:after="0"/>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D92B1"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C15742" w14:textId="77777777" w:rsidR="00FE0C5A" w:rsidRDefault="000C18DB" w:rsidP="00F113BD">
            <w:pPr>
              <w:spacing w:after="0"/>
              <w:jc w:val="right"/>
              <w:rPr>
                <w:rFonts w:eastAsia="Times New Roman"/>
              </w:rPr>
            </w:pPr>
            <w:r>
              <w:rPr>
                <w:rFonts w:ascii="Arial" w:eastAsia="Times New Roman" w:hAnsi="Arial" w:cs="Arial"/>
                <w:sz w:val="16"/>
                <w:szCs w:val="16"/>
              </w:rPr>
              <w:t>299.539,37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D5958" w14:textId="77777777" w:rsidR="00FE0C5A" w:rsidRDefault="000C18DB" w:rsidP="00F113BD">
            <w:pPr>
              <w:spacing w:after="0"/>
              <w:jc w:val="right"/>
              <w:rPr>
                <w:rFonts w:eastAsia="Times New Roman"/>
              </w:rPr>
            </w:pPr>
            <w:r>
              <w:rPr>
                <w:rFonts w:ascii="Arial" w:eastAsia="Times New Roman" w:hAnsi="Arial" w:cs="Arial"/>
                <w:sz w:val="16"/>
                <w:szCs w:val="16"/>
              </w:rPr>
              <w:t>106.990,72</w:t>
            </w:r>
          </w:p>
        </w:tc>
      </w:tr>
      <w:tr w:rsidR="00FE0C5A" w14:paraId="2820C5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6D7B35" w14:textId="77777777" w:rsidR="00FE0C5A" w:rsidRDefault="000C18DB" w:rsidP="00F113BD">
            <w:pPr>
              <w:spacing w:after="0"/>
              <w:rPr>
                <w:rFonts w:eastAsia="Times New Roman"/>
              </w:rPr>
            </w:pPr>
            <w:r>
              <w:rPr>
                <w:rFonts w:ascii="Arial" w:eastAsia="Times New Roman" w:hAnsi="Arial" w:cs="Arial"/>
                <w:b/>
                <w:bCs/>
                <w:sz w:val="16"/>
                <w:szCs w:val="16"/>
              </w:rPr>
              <w:t xml:space="preserve">Total de </w:t>
            </w:r>
            <w:r>
              <w:rPr>
                <w:rFonts w:ascii="Arial" w:eastAsia="Times New Roman" w:hAnsi="Arial" w:cs="Arial"/>
                <w:b/>
                <w:bCs/>
                <w:sz w:val="16"/>
                <w:szCs w:val="16"/>
              </w:rPr>
              <w:t>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C711A"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BCBE9" w14:textId="77777777" w:rsidR="00FE0C5A" w:rsidRDefault="000C18DB" w:rsidP="00F113BD">
            <w:pPr>
              <w:spacing w:after="0"/>
              <w:jc w:val="right"/>
              <w:rPr>
                <w:rFonts w:eastAsia="Times New Roman"/>
              </w:rPr>
            </w:pPr>
            <w:r>
              <w:rPr>
                <w:rFonts w:ascii="Arial" w:eastAsia="Times New Roman" w:hAnsi="Arial" w:cs="Arial"/>
                <w:b/>
                <w:bCs/>
                <w:sz w:val="16"/>
                <w:szCs w:val="16"/>
              </w:rPr>
              <w:t>9.180.080,96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A7ED6" w14:textId="77777777" w:rsidR="00FE0C5A" w:rsidRDefault="000C18DB" w:rsidP="00F113BD">
            <w:pPr>
              <w:spacing w:after="0"/>
              <w:jc w:val="right"/>
              <w:rPr>
                <w:rFonts w:eastAsia="Times New Roman"/>
              </w:rPr>
            </w:pPr>
            <w:r>
              <w:rPr>
                <w:rFonts w:ascii="Arial" w:eastAsia="Times New Roman" w:hAnsi="Arial" w:cs="Arial"/>
                <w:b/>
                <w:bCs/>
                <w:sz w:val="16"/>
                <w:szCs w:val="16"/>
              </w:rPr>
              <w:t>8.288.800,03</w:t>
            </w:r>
          </w:p>
        </w:tc>
      </w:tr>
      <w:tr w:rsidR="00FE0C5A" w14:paraId="21C415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4EB004" w14:textId="77777777" w:rsidR="00FE0C5A" w:rsidRDefault="000C18DB" w:rsidP="00F113BD">
            <w:pPr>
              <w:spacing w:after="0"/>
              <w:rPr>
                <w:rFonts w:eastAsia="Times New Roman"/>
              </w:rPr>
            </w:pPr>
            <w:r>
              <w:rPr>
                <w:rFonts w:ascii="Arial" w:eastAsia="Times New Roman" w:hAnsi="Arial" w:cs="Arial"/>
                <w:sz w:val="16"/>
                <w:szCs w:val="16"/>
              </w:rPr>
              <w:t>(-) Depreciação Acum.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34073"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8C620D" w14:textId="77777777" w:rsidR="00FE0C5A" w:rsidRDefault="000C18DB" w:rsidP="00F113BD">
            <w:pPr>
              <w:spacing w:after="0"/>
              <w:jc w:val="right"/>
              <w:rPr>
                <w:rFonts w:eastAsia="Times New Roman"/>
              </w:rPr>
            </w:pPr>
            <w:r>
              <w:rPr>
                <w:rFonts w:ascii="Arial" w:eastAsia="Times New Roman" w:hAnsi="Arial" w:cs="Arial"/>
                <w:sz w:val="16"/>
                <w:szCs w:val="16"/>
              </w:rPr>
              <w:t>(1.027.109,24)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A8A99" w14:textId="77777777" w:rsidR="00FE0C5A" w:rsidRDefault="000C18DB" w:rsidP="00F113BD">
            <w:pPr>
              <w:spacing w:after="0"/>
              <w:jc w:val="right"/>
              <w:rPr>
                <w:rFonts w:eastAsia="Times New Roman"/>
              </w:rPr>
            </w:pPr>
            <w:r>
              <w:rPr>
                <w:rFonts w:ascii="Arial" w:eastAsia="Times New Roman" w:hAnsi="Arial" w:cs="Arial"/>
                <w:sz w:val="16"/>
                <w:szCs w:val="16"/>
              </w:rPr>
              <w:t>(858.838,46)</w:t>
            </w:r>
          </w:p>
        </w:tc>
      </w:tr>
      <w:tr w:rsidR="00FE0C5A" w14:paraId="6236C1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84596B" w14:textId="77777777" w:rsidR="00FE0C5A" w:rsidRDefault="000C18DB" w:rsidP="00F113BD">
            <w:pPr>
              <w:spacing w:after="0"/>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74DD0"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210CCA" w14:textId="77777777" w:rsidR="00FE0C5A" w:rsidRDefault="000C18DB" w:rsidP="00F113BD">
            <w:pPr>
              <w:spacing w:after="0"/>
              <w:jc w:val="right"/>
              <w:rPr>
                <w:rFonts w:eastAsia="Times New Roman"/>
              </w:rPr>
            </w:pPr>
            <w:r>
              <w:rPr>
                <w:rFonts w:ascii="Arial" w:eastAsia="Times New Roman" w:hAnsi="Arial" w:cs="Arial"/>
                <w:sz w:val="16"/>
                <w:szCs w:val="16"/>
              </w:rPr>
              <w:t>(44.991,49)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46E42" w14:textId="77777777" w:rsidR="00FE0C5A" w:rsidRDefault="000C18DB" w:rsidP="00F113BD">
            <w:pPr>
              <w:spacing w:after="0"/>
              <w:jc w:val="right"/>
              <w:rPr>
                <w:rFonts w:eastAsia="Times New Roman"/>
              </w:rPr>
            </w:pPr>
            <w:r>
              <w:rPr>
                <w:rFonts w:ascii="Arial" w:eastAsia="Times New Roman" w:hAnsi="Arial" w:cs="Arial"/>
                <w:sz w:val="16"/>
                <w:szCs w:val="16"/>
              </w:rPr>
              <w:t>(37.946,87)</w:t>
            </w:r>
          </w:p>
        </w:tc>
      </w:tr>
      <w:tr w:rsidR="00FE0C5A" w14:paraId="596886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B3D28A" w14:textId="77777777" w:rsidR="00FE0C5A" w:rsidRDefault="000C18DB" w:rsidP="00F113BD">
            <w:pPr>
              <w:spacing w:after="0"/>
              <w:rPr>
                <w:rFonts w:eastAsia="Times New Roman"/>
              </w:rPr>
            </w:pPr>
            <w:r>
              <w:rPr>
                <w:rFonts w:ascii="Arial" w:eastAsia="Times New Roman"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0F8A3"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6F4C65" w14:textId="77777777" w:rsidR="00FE0C5A" w:rsidRDefault="000C18DB" w:rsidP="00F113BD">
            <w:pPr>
              <w:spacing w:after="0"/>
              <w:jc w:val="right"/>
              <w:rPr>
                <w:rFonts w:eastAsia="Times New Roman"/>
              </w:rPr>
            </w:pPr>
            <w:r>
              <w:rPr>
                <w:rFonts w:ascii="Arial" w:eastAsia="Times New Roman" w:hAnsi="Arial" w:cs="Arial"/>
                <w:sz w:val="16"/>
                <w:szCs w:val="16"/>
              </w:rPr>
              <w:t>(1.665.732,07)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2ADF6" w14:textId="77777777" w:rsidR="00FE0C5A" w:rsidRDefault="000C18DB" w:rsidP="00F113BD">
            <w:pPr>
              <w:spacing w:after="0"/>
              <w:jc w:val="right"/>
              <w:rPr>
                <w:rFonts w:eastAsia="Times New Roman"/>
              </w:rPr>
            </w:pPr>
            <w:r>
              <w:rPr>
                <w:rFonts w:ascii="Arial" w:eastAsia="Times New Roman" w:hAnsi="Arial" w:cs="Arial"/>
                <w:sz w:val="16"/>
                <w:szCs w:val="16"/>
              </w:rPr>
              <w:t>(1.335.317,72)</w:t>
            </w:r>
          </w:p>
        </w:tc>
      </w:tr>
      <w:tr w:rsidR="00FE0C5A" w14:paraId="382919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ED0463" w14:textId="77777777" w:rsidR="00FE0C5A" w:rsidRDefault="000C18DB" w:rsidP="00F113BD">
            <w:pPr>
              <w:spacing w:after="0"/>
              <w:rPr>
                <w:rFonts w:eastAsia="Times New Roman"/>
              </w:rPr>
            </w:pPr>
            <w:r>
              <w:rPr>
                <w:rFonts w:ascii="Arial" w:eastAsia="Times New Roman" w:hAnsi="Arial" w:cs="Arial"/>
                <w:sz w:val="16"/>
                <w:szCs w:val="16"/>
              </w:rPr>
              <w:t>(-) Depreciação Acum.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E1040"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522943" w14:textId="77777777" w:rsidR="00FE0C5A" w:rsidRDefault="000C18DB" w:rsidP="00F113BD">
            <w:pPr>
              <w:spacing w:after="0"/>
              <w:jc w:val="right"/>
              <w:rPr>
                <w:rFonts w:eastAsia="Times New Roman"/>
              </w:rPr>
            </w:pPr>
            <w:r>
              <w:rPr>
                <w:rFonts w:ascii="Arial" w:eastAsia="Times New Roman" w:hAnsi="Arial" w:cs="Arial"/>
                <w:sz w:val="16"/>
                <w:szCs w:val="16"/>
              </w:rPr>
              <w:t>(156.320,80)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5CA27" w14:textId="77777777" w:rsidR="00FE0C5A" w:rsidRDefault="000C18DB" w:rsidP="00F113BD">
            <w:pPr>
              <w:spacing w:after="0"/>
              <w:jc w:val="right"/>
              <w:rPr>
                <w:rFonts w:eastAsia="Times New Roman"/>
              </w:rPr>
            </w:pPr>
            <w:r>
              <w:rPr>
                <w:rFonts w:ascii="Arial" w:eastAsia="Times New Roman" w:hAnsi="Arial" w:cs="Arial"/>
                <w:sz w:val="16"/>
                <w:szCs w:val="16"/>
              </w:rPr>
              <w:t>(116.631,06)</w:t>
            </w:r>
          </w:p>
        </w:tc>
      </w:tr>
      <w:tr w:rsidR="00FE0C5A" w14:paraId="1FCCCF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CBD892" w14:textId="77777777" w:rsidR="00FE0C5A" w:rsidRDefault="000C18DB" w:rsidP="00F113BD">
            <w:pPr>
              <w:spacing w:after="0"/>
              <w:rPr>
                <w:rFonts w:eastAsia="Times New Roman"/>
              </w:rPr>
            </w:pPr>
            <w:r>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02C22"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E9FF0D" w14:textId="77777777" w:rsidR="00FE0C5A" w:rsidRDefault="000C18DB" w:rsidP="00F113BD">
            <w:pPr>
              <w:spacing w:after="0"/>
              <w:jc w:val="right"/>
              <w:rPr>
                <w:rFonts w:eastAsia="Times New Roman"/>
              </w:rPr>
            </w:pPr>
            <w:r>
              <w:rPr>
                <w:rFonts w:ascii="Arial" w:eastAsia="Times New Roman" w:hAnsi="Arial" w:cs="Arial"/>
                <w:sz w:val="16"/>
                <w:szCs w:val="16"/>
              </w:rPr>
              <w:t>(34.285,62)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A6260" w14:textId="77777777" w:rsidR="00FE0C5A" w:rsidRDefault="000C18DB" w:rsidP="00F113BD">
            <w:pPr>
              <w:spacing w:after="0"/>
              <w:jc w:val="right"/>
              <w:rPr>
                <w:rFonts w:eastAsia="Times New Roman"/>
              </w:rPr>
            </w:pPr>
            <w:r>
              <w:rPr>
                <w:rFonts w:ascii="Arial" w:eastAsia="Times New Roman" w:hAnsi="Arial" w:cs="Arial"/>
                <w:sz w:val="16"/>
                <w:szCs w:val="16"/>
              </w:rPr>
              <w:t>(13.373,85)</w:t>
            </w:r>
          </w:p>
        </w:tc>
      </w:tr>
      <w:tr w:rsidR="00FE0C5A" w14:paraId="55E8D2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4AA82F" w14:textId="77777777" w:rsidR="00FE0C5A" w:rsidRDefault="000C18DB" w:rsidP="00F113BD">
            <w:pPr>
              <w:spacing w:after="0"/>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2C5BA"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084251" w14:textId="77777777" w:rsidR="00FE0C5A" w:rsidRDefault="000C18DB" w:rsidP="00F113BD">
            <w:pPr>
              <w:spacing w:after="0"/>
              <w:jc w:val="right"/>
              <w:rPr>
                <w:rFonts w:eastAsia="Times New Roman"/>
              </w:rPr>
            </w:pPr>
            <w:r>
              <w:rPr>
                <w:rFonts w:ascii="Arial" w:eastAsia="Times New Roman" w:hAnsi="Arial" w:cs="Arial"/>
                <w:b/>
                <w:bCs/>
                <w:sz w:val="16"/>
                <w:szCs w:val="16"/>
              </w:rPr>
              <w:t>(2.928.439,22)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4FDC8" w14:textId="77777777" w:rsidR="00FE0C5A" w:rsidRDefault="000C18DB" w:rsidP="00F113BD">
            <w:pPr>
              <w:spacing w:after="0"/>
              <w:jc w:val="right"/>
              <w:rPr>
                <w:rFonts w:eastAsia="Times New Roman"/>
              </w:rPr>
            </w:pPr>
            <w:r>
              <w:rPr>
                <w:rFonts w:ascii="Arial" w:eastAsia="Times New Roman" w:hAnsi="Arial" w:cs="Arial"/>
                <w:b/>
                <w:bCs/>
                <w:sz w:val="16"/>
                <w:szCs w:val="16"/>
              </w:rPr>
              <w:t>(2.362.107,96)</w:t>
            </w:r>
          </w:p>
        </w:tc>
      </w:tr>
      <w:tr w:rsidR="00FE0C5A" w14:paraId="6E1892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D1E1D3"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15171" w14:textId="77777777" w:rsidR="00FE0C5A" w:rsidRDefault="00FE0C5A" w:rsidP="00F113BD">
            <w:pPr>
              <w:spacing w:after="0"/>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2E2435" w14:textId="77777777" w:rsidR="00FE0C5A" w:rsidRDefault="000C18DB" w:rsidP="00F113BD">
            <w:pPr>
              <w:spacing w:after="0"/>
              <w:jc w:val="right"/>
              <w:rPr>
                <w:rFonts w:eastAsia="Times New Roman"/>
              </w:rPr>
            </w:pPr>
            <w:r>
              <w:rPr>
                <w:rFonts w:ascii="Arial" w:eastAsia="Times New Roman" w:hAnsi="Arial" w:cs="Arial"/>
                <w:b/>
                <w:bCs/>
                <w:sz w:val="16"/>
                <w:szCs w:val="16"/>
              </w:rPr>
              <w:t>6.251.641,74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FDC05" w14:textId="77777777" w:rsidR="00FE0C5A" w:rsidRDefault="000C18DB" w:rsidP="00F113BD">
            <w:pPr>
              <w:spacing w:after="0"/>
              <w:jc w:val="right"/>
              <w:rPr>
                <w:rFonts w:eastAsia="Times New Roman"/>
              </w:rPr>
            </w:pPr>
            <w:r>
              <w:rPr>
                <w:rFonts w:ascii="Arial" w:eastAsia="Times New Roman" w:hAnsi="Arial" w:cs="Arial"/>
                <w:b/>
                <w:bCs/>
                <w:sz w:val="16"/>
                <w:szCs w:val="16"/>
              </w:rPr>
              <w:t>5.926.692,07</w:t>
            </w:r>
          </w:p>
        </w:tc>
      </w:tr>
    </w:tbl>
    <w:p w14:paraId="55F67EC1" w14:textId="77777777" w:rsidR="00FE0C5A" w:rsidRDefault="000C18DB">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4479A2AE" w14:textId="293E78FD" w:rsidR="00FE0C5A" w:rsidRDefault="001A08B4">
      <w:pPr>
        <w:pStyle w:val="NormalWeb"/>
        <w:jc w:val="both"/>
      </w:pPr>
      <w:r>
        <w:rPr>
          <w:rFonts w:ascii="Arial" w:hAnsi="Arial" w:cs="Arial"/>
          <w:b/>
          <w:bCs/>
          <w:sz w:val="20"/>
          <w:szCs w:val="20"/>
        </w:rPr>
        <w:t>12. Depósitos</w:t>
      </w:r>
    </w:p>
    <w:p w14:paraId="0962C3FB" w14:textId="77777777" w:rsidR="00FE0C5A" w:rsidRDefault="000C18DB">
      <w:pPr>
        <w:pStyle w:val="NormalWeb"/>
        <w:jc w:val="both"/>
      </w:pPr>
      <w:r>
        <w:rPr>
          <w:rFonts w:ascii="Arial" w:hAnsi="Arial" w:cs="Arial"/>
          <w:sz w:val="20"/>
          <w:szCs w:val="20"/>
        </w:rPr>
        <w:t xml:space="preserve">Em 31 de dezembro de 2023 e 2022, os depósitos estão assim </w:t>
      </w:r>
      <w:r>
        <w:rPr>
          <w:rFonts w:ascii="Arial" w:hAnsi="Arial" w:cs="Arial"/>
          <w:sz w:val="20"/>
          <w:szCs w:val="20"/>
        </w:rPr>
        <w:t>compostos:</w:t>
      </w:r>
    </w:p>
    <w:tbl>
      <w:tblPr>
        <w:tblW w:w="5000" w:type="pct"/>
        <w:tblCellMar>
          <w:left w:w="0" w:type="dxa"/>
          <w:right w:w="0" w:type="dxa"/>
        </w:tblCellMar>
        <w:tblLook w:val="04A0" w:firstRow="1" w:lastRow="0" w:firstColumn="1" w:lastColumn="0" w:noHBand="0" w:noVBand="1"/>
      </w:tblPr>
      <w:tblGrid>
        <w:gridCol w:w="1788"/>
        <w:gridCol w:w="1360"/>
        <w:gridCol w:w="1380"/>
        <w:gridCol w:w="1360"/>
        <w:gridCol w:w="1360"/>
        <w:gridCol w:w="1380"/>
        <w:gridCol w:w="1360"/>
      </w:tblGrid>
      <w:tr w:rsidR="00FE0C5A" w14:paraId="186C8D2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0534B3"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C37990"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51B6E8A"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18CB4EF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77110E1"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1422E"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4D2A0"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11DE4"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47E88"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704EB"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7939"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43FDA3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A1D3C4" w14:textId="5D7A2475" w:rsidR="00FE0C5A" w:rsidRDefault="000C18DB" w:rsidP="00F113BD">
            <w:pPr>
              <w:spacing w:after="0"/>
              <w:rPr>
                <w:rFonts w:eastAsia="Times New Roman"/>
              </w:rPr>
            </w:pPr>
            <w:r>
              <w:rPr>
                <w:rFonts w:ascii="Arial" w:eastAsia="Times New Roman" w:hAnsi="Arial" w:cs="Arial"/>
                <w:sz w:val="16"/>
                <w:szCs w:val="16"/>
              </w:rPr>
              <w:t>Depósito à Vista</w:t>
            </w:r>
            <w:r w:rsidR="0096686A">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5E536" w14:textId="77777777" w:rsidR="00FE0C5A" w:rsidRDefault="000C18DB" w:rsidP="00F113BD">
            <w:pPr>
              <w:spacing w:after="0"/>
              <w:jc w:val="right"/>
              <w:rPr>
                <w:rFonts w:eastAsia="Times New Roman"/>
              </w:rPr>
            </w:pPr>
            <w:r>
              <w:rPr>
                <w:rFonts w:ascii="Arial" w:eastAsia="Times New Roman" w:hAnsi="Arial" w:cs="Arial"/>
                <w:sz w:val="16"/>
                <w:szCs w:val="16"/>
              </w:rPr>
              <w:t>72.654.475,60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72EB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91EF8" w14:textId="77777777" w:rsidR="00FE0C5A" w:rsidRDefault="000C18DB" w:rsidP="00F113BD">
            <w:pPr>
              <w:spacing w:after="0"/>
              <w:jc w:val="right"/>
              <w:rPr>
                <w:rFonts w:eastAsia="Times New Roman"/>
              </w:rPr>
            </w:pPr>
            <w:r>
              <w:rPr>
                <w:rFonts w:ascii="Arial" w:eastAsia="Times New Roman" w:hAnsi="Arial" w:cs="Arial"/>
                <w:sz w:val="16"/>
                <w:szCs w:val="16"/>
              </w:rPr>
              <w:t>72.654.475,60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5D1CF" w14:textId="77777777" w:rsidR="00FE0C5A" w:rsidRDefault="000C18DB" w:rsidP="00F113BD">
            <w:pPr>
              <w:spacing w:after="0"/>
              <w:jc w:val="right"/>
              <w:rPr>
                <w:rFonts w:eastAsia="Times New Roman"/>
              </w:rPr>
            </w:pPr>
            <w:r>
              <w:rPr>
                <w:rFonts w:ascii="Arial" w:eastAsia="Times New Roman" w:hAnsi="Arial" w:cs="Arial"/>
                <w:sz w:val="16"/>
                <w:szCs w:val="16"/>
              </w:rPr>
              <w:t>59.357.765,75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EB12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E7BBB" w14:textId="77777777" w:rsidR="00FE0C5A" w:rsidRDefault="000C18DB" w:rsidP="00F113BD">
            <w:pPr>
              <w:spacing w:after="0"/>
              <w:jc w:val="right"/>
              <w:rPr>
                <w:rFonts w:eastAsia="Times New Roman"/>
              </w:rPr>
            </w:pPr>
            <w:r>
              <w:rPr>
                <w:rFonts w:ascii="Arial" w:eastAsia="Times New Roman" w:hAnsi="Arial" w:cs="Arial"/>
                <w:sz w:val="16"/>
                <w:szCs w:val="16"/>
              </w:rPr>
              <w:t>59.357.765,75</w:t>
            </w:r>
          </w:p>
        </w:tc>
      </w:tr>
      <w:tr w:rsidR="00FE0C5A" w14:paraId="536C87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888F26" w14:textId="235291CA" w:rsidR="00FE0C5A" w:rsidRDefault="000C18DB" w:rsidP="00F113BD">
            <w:pPr>
              <w:spacing w:after="0"/>
              <w:rPr>
                <w:rFonts w:eastAsia="Times New Roman"/>
              </w:rPr>
            </w:pPr>
            <w:r>
              <w:rPr>
                <w:rFonts w:ascii="Arial" w:eastAsia="Times New Roman" w:hAnsi="Arial" w:cs="Arial"/>
                <w:sz w:val="16"/>
                <w:szCs w:val="16"/>
              </w:rPr>
              <w:t>Depósito a Prazo</w:t>
            </w:r>
            <w:r w:rsidR="0096686A">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8A322" w14:textId="77777777" w:rsidR="00FE0C5A" w:rsidRDefault="000C18DB" w:rsidP="00F113BD">
            <w:pPr>
              <w:spacing w:after="0"/>
              <w:jc w:val="right"/>
              <w:rPr>
                <w:rFonts w:eastAsia="Times New Roman"/>
              </w:rPr>
            </w:pPr>
            <w:r>
              <w:rPr>
                <w:rFonts w:ascii="Arial" w:eastAsia="Times New Roman" w:hAnsi="Arial" w:cs="Arial"/>
                <w:sz w:val="16"/>
                <w:szCs w:val="16"/>
              </w:rPr>
              <w:t>89.818.186,44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732C8" w14:textId="77777777" w:rsidR="00FE0C5A" w:rsidRDefault="000C18DB" w:rsidP="00F113BD">
            <w:pPr>
              <w:spacing w:after="0"/>
              <w:jc w:val="right"/>
              <w:rPr>
                <w:rFonts w:eastAsia="Times New Roman"/>
              </w:rPr>
            </w:pPr>
            <w:r>
              <w:rPr>
                <w:rFonts w:ascii="Arial" w:eastAsia="Times New Roman" w:hAnsi="Arial" w:cs="Arial"/>
                <w:sz w:val="16"/>
                <w:szCs w:val="16"/>
              </w:rPr>
              <w:t>6.275,66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3FDEB" w14:textId="77777777" w:rsidR="00FE0C5A" w:rsidRDefault="000C18DB" w:rsidP="00F113BD">
            <w:pPr>
              <w:spacing w:after="0"/>
              <w:jc w:val="right"/>
              <w:rPr>
                <w:rFonts w:eastAsia="Times New Roman"/>
              </w:rPr>
            </w:pPr>
            <w:r>
              <w:rPr>
                <w:rFonts w:ascii="Arial" w:eastAsia="Times New Roman" w:hAnsi="Arial" w:cs="Arial"/>
                <w:sz w:val="16"/>
                <w:szCs w:val="16"/>
              </w:rPr>
              <w:t>89.824.462,10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1035A" w14:textId="77777777" w:rsidR="00FE0C5A" w:rsidRDefault="000C18DB" w:rsidP="00F113BD">
            <w:pPr>
              <w:spacing w:after="0"/>
              <w:jc w:val="right"/>
              <w:rPr>
                <w:rFonts w:eastAsia="Times New Roman"/>
              </w:rPr>
            </w:pPr>
            <w:r>
              <w:rPr>
                <w:rFonts w:ascii="Arial" w:eastAsia="Times New Roman" w:hAnsi="Arial" w:cs="Arial"/>
                <w:sz w:val="16"/>
                <w:szCs w:val="16"/>
              </w:rPr>
              <w:t>72.895.644,42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A6B82" w14:textId="77777777" w:rsidR="00FE0C5A" w:rsidRDefault="000C18DB" w:rsidP="00F113BD">
            <w:pPr>
              <w:spacing w:after="0"/>
              <w:jc w:val="right"/>
              <w:rPr>
                <w:rFonts w:eastAsia="Times New Roman"/>
              </w:rPr>
            </w:pPr>
            <w:r>
              <w:rPr>
                <w:rFonts w:ascii="Arial" w:eastAsia="Times New Roman" w:hAnsi="Arial" w:cs="Arial"/>
                <w:sz w:val="16"/>
                <w:szCs w:val="16"/>
              </w:rPr>
              <w:t>958,47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B55EF" w14:textId="77777777" w:rsidR="00FE0C5A" w:rsidRDefault="000C18DB" w:rsidP="00F113BD">
            <w:pPr>
              <w:spacing w:after="0"/>
              <w:jc w:val="right"/>
              <w:rPr>
                <w:rFonts w:eastAsia="Times New Roman"/>
              </w:rPr>
            </w:pPr>
            <w:r>
              <w:rPr>
                <w:rFonts w:ascii="Arial" w:eastAsia="Times New Roman" w:hAnsi="Arial" w:cs="Arial"/>
                <w:sz w:val="16"/>
                <w:szCs w:val="16"/>
              </w:rPr>
              <w:t>72.896.602,89</w:t>
            </w:r>
          </w:p>
        </w:tc>
      </w:tr>
      <w:tr w:rsidR="00FE0C5A" w14:paraId="4AEDC5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95D1AD"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98D79" w14:textId="77777777" w:rsidR="00FE0C5A" w:rsidRDefault="000C18DB" w:rsidP="00F113BD">
            <w:pPr>
              <w:spacing w:after="0"/>
              <w:jc w:val="right"/>
              <w:rPr>
                <w:rFonts w:eastAsia="Times New Roman"/>
              </w:rPr>
            </w:pPr>
            <w:r>
              <w:rPr>
                <w:rFonts w:ascii="Arial" w:eastAsia="Times New Roman" w:hAnsi="Arial" w:cs="Arial"/>
                <w:b/>
                <w:bCs/>
                <w:sz w:val="16"/>
                <w:szCs w:val="16"/>
              </w:rPr>
              <w:t>162.472.662,04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53A91" w14:textId="77777777" w:rsidR="00FE0C5A" w:rsidRDefault="000C18DB" w:rsidP="00F113BD">
            <w:pPr>
              <w:spacing w:after="0"/>
              <w:jc w:val="right"/>
              <w:rPr>
                <w:rFonts w:eastAsia="Times New Roman"/>
              </w:rPr>
            </w:pPr>
            <w:r>
              <w:rPr>
                <w:rFonts w:ascii="Arial" w:eastAsia="Times New Roman" w:hAnsi="Arial" w:cs="Arial"/>
                <w:b/>
                <w:bCs/>
                <w:sz w:val="16"/>
                <w:szCs w:val="16"/>
              </w:rPr>
              <w:t>6.275,66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49DD3" w14:textId="77777777" w:rsidR="00FE0C5A" w:rsidRDefault="000C18DB" w:rsidP="00F113BD">
            <w:pPr>
              <w:spacing w:after="0"/>
              <w:jc w:val="right"/>
              <w:rPr>
                <w:rFonts w:eastAsia="Times New Roman"/>
              </w:rPr>
            </w:pPr>
            <w:r>
              <w:rPr>
                <w:rFonts w:ascii="Arial" w:eastAsia="Times New Roman" w:hAnsi="Arial" w:cs="Arial"/>
                <w:b/>
                <w:bCs/>
                <w:sz w:val="16"/>
                <w:szCs w:val="16"/>
              </w:rPr>
              <w:t>162.478.937,70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776A1" w14:textId="77777777" w:rsidR="00FE0C5A" w:rsidRDefault="000C18DB" w:rsidP="00F113BD">
            <w:pPr>
              <w:spacing w:after="0"/>
              <w:jc w:val="right"/>
              <w:rPr>
                <w:rFonts w:eastAsia="Times New Roman"/>
              </w:rPr>
            </w:pPr>
            <w:r>
              <w:rPr>
                <w:rFonts w:ascii="Arial" w:eastAsia="Times New Roman" w:hAnsi="Arial" w:cs="Arial"/>
                <w:b/>
                <w:bCs/>
                <w:sz w:val="16"/>
                <w:szCs w:val="16"/>
              </w:rPr>
              <w:t>132.253.410,17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EC333" w14:textId="77777777" w:rsidR="00FE0C5A" w:rsidRDefault="000C18DB" w:rsidP="00F113BD">
            <w:pPr>
              <w:spacing w:after="0"/>
              <w:jc w:val="right"/>
              <w:rPr>
                <w:rFonts w:eastAsia="Times New Roman"/>
              </w:rPr>
            </w:pPr>
            <w:r>
              <w:rPr>
                <w:rFonts w:ascii="Arial" w:eastAsia="Times New Roman" w:hAnsi="Arial" w:cs="Arial"/>
                <w:b/>
                <w:bCs/>
                <w:sz w:val="16"/>
                <w:szCs w:val="16"/>
              </w:rPr>
              <w:t>958,47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344A8" w14:textId="77777777" w:rsidR="00FE0C5A" w:rsidRDefault="000C18DB" w:rsidP="00F113BD">
            <w:pPr>
              <w:spacing w:after="0"/>
              <w:jc w:val="right"/>
              <w:rPr>
                <w:rFonts w:eastAsia="Times New Roman"/>
              </w:rPr>
            </w:pPr>
            <w:r>
              <w:rPr>
                <w:rFonts w:ascii="Arial" w:eastAsia="Times New Roman" w:hAnsi="Arial" w:cs="Arial"/>
                <w:b/>
                <w:bCs/>
                <w:sz w:val="16"/>
                <w:szCs w:val="16"/>
              </w:rPr>
              <w:t>132.254.368,64</w:t>
            </w:r>
          </w:p>
        </w:tc>
      </w:tr>
    </w:tbl>
    <w:p w14:paraId="7C6F7937" w14:textId="77777777" w:rsidR="00FE0C5A" w:rsidRDefault="000C18DB">
      <w:pPr>
        <w:pStyle w:val="NormalWeb"/>
        <w:jc w:val="both"/>
      </w:pPr>
      <w:r>
        <w:rPr>
          <w:rFonts w:ascii="Arial" w:hAnsi="Arial" w:cs="Arial"/>
          <w:sz w:val="20"/>
          <w:szCs w:val="20"/>
        </w:rPr>
        <w:t xml:space="preserve">(a) Valores cuja disponibilidade é imediata aos associados, ficando a critério do portador dos recursos fazê-lo </w:t>
      </w:r>
      <w:r>
        <w:rPr>
          <w:rFonts w:ascii="Arial" w:hAnsi="Arial" w:cs="Arial"/>
          <w:sz w:val="20"/>
          <w:szCs w:val="20"/>
        </w:rPr>
        <w:t>conforme sua necessidade.</w:t>
      </w:r>
    </w:p>
    <w:p w14:paraId="5B8A3727" w14:textId="77777777" w:rsidR="00FE0C5A" w:rsidRDefault="000C18DB">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pro rata temporis</w:t>
      </w:r>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6072BCE4" w14:textId="77777777" w:rsidR="00FE0C5A" w:rsidRDefault="000C18DB">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w:t>
      </w:r>
      <w:r>
        <w:rPr>
          <w:rFonts w:ascii="Arial" w:hAnsi="Arial" w:cs="Arial"/>
          <w:sz w:val="20"/>
          <w:szCs w:val="20"/>
        </w:rPr>
        <w:t>o”.</w:t>
      </w:r>
    </w:p>
    <w:p w14:paraId="2CC55BFC" w14:textId="77777777" w:rsidR="00FE0C5A" w:rsidRDefault="000C18DB">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828"/>
        <w:gridCol w:w="1645"/>
        <w:gridCol w:w="1935"/>
        <w:gridCol w:w="1645"/>
        <w:gridCol w:w="1935"/>
      </w:tblGrid>
      <w:tr w:rsidR="00FE0C5A" w14:paraId="22B730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668E44"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C97A0"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1B58F" w14:textId="77777777" w:rsidR="00FE0C5A" w:rsidRDefault="000C18DB" w:rsidP="00F113BD">
            <w:pPr>
              <w:spacing w:after="0"/>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F0005"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0AE30" w14:textId="77777777" w:rsidR="00FE0C5A" w:rsidRDefault="000C18DB" w:rsidP="00F113BD">
            <w:pPr>
              <w:spacing w:after="0"/>
              <w:jc w:val="center"/>
              <w:rPr>
                <w:rFonts w:eastAsia="Times New Roman"/>
              </w:rPr>
            </w:pPr>
            <w:r>
              <w:rPr>
                <w:rFonts w:ascii="Arial" w:eastAsia="Times New Roman" w:hAnsi="Arial" w:cs="Arial"/>
                <w:b/>
                <w:bCs/>
                <w:sz w:val="16"/>
                <w:szCs w:val="16"/>
              </w:rPr>
              <w:t>% Carteira Total</w:t>
            </w:r>
          </w:p>
        </w:tc>
      </w:tr>
      <w:tr w:rsidR="003813C6" w14:paraId="4A537546" w14:textId="77777777" w:rsidTr="006B0533">
        <w:tc>
          <w:tcPr>
            <w:tcW w:w="0" w:type="auto"/>
            <w:tcBorders>
              <w:top w:val="outset" w:sz="6" w:space="0" w:color="auto"/>
              <w:left w:val="outset" w:sz="6" w:space="0" w:color="auto"/>
              <w:bottom w:val="outset" w:sz="6" w:space="0" w:color="auto"/>
              <w:right w:val="outset" w:sz="6" w:space="0" w:color="auto"/>
            </w:tcBorders>
            <w:vAlign w:val="center"/>
            <w:hideMark/>
          </w:tcPr>
          <w:p w14:paraId="68C66FB1" w14:textId="77777777" w:rsidR="003813C6" w:rsidRDefault="003813C6" w:rsidP="003813C6">
            <w:pPr>
              <w:spacing w:after="0"/>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7BD55" w14:textId="77777777" w:rsidR="003813C6" w:rsidRDefault="003813C6" w:rsidP="003813C6">
            <w:pPr>
              <w:spacing w:after="0"/>
              <w:jc w:val="right"/>
              <w:rPr>
                <w:rFonts w:eastAsia="Times New Roman"/>
              </w:rPr>
            </w:pPr>
            <w:r>
              <w:rPr>
                <w:rFonts w:ascii="Arial" w:eastAsia="Times New Roman" w:hAnsi="Arial" w:cs="Arial"/>
                <w:sz w:val="16"/>
                <w:szCs w:val="16"/>
              </w:rPr>
              <w:t>10.621.558,93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72C29" w14:textId="77777777" w:rsidR="003813C6" w:rsidRDefault="003813C6" w:rsidP="003813C6">
            <w:pPr>
              <w:spacing w:after="0"/>
              <w:jc w:val="right"/>
              <w:rPr>
                <w:rFonts w:eastAsia="Times New Roman"/>
              </w:rPr>
            </w:pPr>
            <w:r>
              <w:rPr>
                <w:rFonts w:ascii="Arial" w:eastAsia="Times New Roman" w:hAnsi="Arial" w:cs="Arial"/>
                <w:sz w:val="16"/>
                <w:szCs w:val="16"/>
              </w:rPr>
              <w:t>5,11%</w:t>
            </w:r>
          </w:p>
        </w:tc>
        <w:tc>
          <w:tcPr>
            <w:tcW w:w="0" w:type="auto"/>
            <w:tcBorders>
              <w:top w:val="outset" w:sz="6" w:space="0" w:color="auto"/>
              <w:left w:val="outset" w:sz="6" w:space="0" w:color="auto"/>
              <w:bottom w:val="outset" w:sz="6" w:space="0" w:color="auto"/>
              <w:right w:val="outset" w:sz="6" w:space="0" w:color="auto"/>
            </w:tcBorders>
            <w:hideMark/>
          </w:tcPr>
          <w:p w14:paraId="4D960945" w14:textId="45D69129" w:rsidR="003813C6" w:rsidRDefault="003813C6" w:rsidP="003813C6">
            <w:pPr>
              <w:spacing w:after="0"/>
              <w:jc w:val="right"/>
              <w:rPr>
                <w:rFonts w:eastAsia="Times New Roman"/>
              </w:rPr>
            </w:pPr>
            <w:r w:rsidRPr="000E466A">
              <w:rPr>
                <w:rFonts w:ascii="ArialMT" w:hAnsi="ArialMT" w:cs="ArialMT"/>
                <w:kern w:val="0"/>
                <w:sz w:val="16"/>
                <w:szCs w:val="16"/>
              </w:rPr>
              <w:t>8.102.318,22</w:t>
            </w:r>
          </w:p>
        </w:tc>
        <w:tc>
          <w:tcPr>
            <w:tcW w:w="0" w:type="auto"/>
            <w:tcBorders>
              <w:top w:val="outset" w:sz="6" w:space="0" w:color="auto"/>
              <w:left w:val="outset" w:sz="6" w:space="0" w:color="auto"/>
              <w:bottom w:val="outset" w:sz="6" w:space="0" w:color="auto"/>
              <w:right w:val="outset" w:sz="6" w:space="0" w:color="auto"/>
            </w:tcBorders>
            <w:hideMark/>
          </w:tcPr>
          <w:p w14:paraId="0FEE76E2" w14:textId="644199CB" w:rsidR="003813C6" w:rsidRDefault="003813C6" w:rsidP="003813C6">
            <w:pPr>
              <w:spacing w:after="0"/>
              <w:jc w:val="right"/>
              <w:rPr>
                <w:rFonts w:eastAsia="Times New Roman"/>
              </w:rPr>
            </w:pPr>
            <w:r w:rsidRPr="00CC219C">
              <w:rPr>
                <w:rFonts w:ascii="ArialMT" w:hAnsi="ArialMT" w:cs="ArialMT"/>
                <w:kern w:val="0"/>
                <w:sz w:val="16"/>
                <w:szCs w:val="16"/>
              </w:rPr>
              <w:t>4,89%</w:t>
            </w:r>
          </w:p>
        </w:tc>
      </w:tr>
      <w:tr w:rsidR="003813C6" w14:paraId="2DFA89B7" w14:textId="77777777" w:rsidTr="006B0533">
        <w:tc>
          <w:tcPr>
            <w:tcW w:w="0" w:type="auto"/>
            <w:tcBorders>
              <w:top w:val="outset" w:sz="6" w:space="0" w:color="auto"/>
              <w:left w:val="outset" w:sz="6" w:space="0" w:color="auto"/>
              <w:bottom w:val="outset" w:sz="6" w:space="0" w:color="auto"/>
              <w:right w:val="outset" w:sz="6" w:space="0" w:color="auto"/>
            </w:tcBorders>
            <w:vAlign w:val="center"/>
            <w:hideMark/>
          </w:tcPr>
          <w:p w14:paraId="7EC6C89B" w14:textId="77777777" w:rsidR="003813C6" w:rsidRDefault="003813C6" w:rsidP="003813C6">
            <w:pPr>
              <w:spacing w:after="0"/>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ADBC5" w14:textId="77777777" w:rsidR="003813C6" w:rsidRDefault="003813C6" w:rsidP="003813C6">
            <w:pPr>
              <w:spacing w:after="0"/>
              <w:jc w:val="right"/>
              <w:rPr>
                <w:rFonts w:eastAsia="Times New Roman"/>
              </w:rPr>
            </w:pPr>
            <w:r>
              <w:rPr>
                <w:rFonts w:ascii="Arial" w:eastAsia="Times New Roman" w:hAnsi="Arial" w:cs="Arial"/>
                <w:sz w:val="16"/>
                <w:szCs w:val="16"/>
              </w:rPr>
              <w:t>41.298.765,65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DD8FA" w14:textId="20EE2942" w:rsidR="003813C6" w:rsidRDefault="003813C6" w:rsidP="003813C6">
            <w:pPr>
              <w:spacing w:after="0"/>
              <w:jc w:val="right"/>
              <w:rPr>
                <w:rFonts w:eastAsia="Times New Roman"/>
              </w:rPr>
            </w:pPr>
            <w:r>
              <w:rPr>
                <w:rFonts w:ascii="Arial" w:eastAsia="Times New Roman" w:hAnsi="Arial" w:cs="Arial"/>
                <w:sz w:val="16"/>
                <w:szCs w:val="16"/>
              </w:rPr>
              <w:t>19,86%</w:t>
            </w:r>
          </w:p>
        </w:tc>
        <w:tc>
          <w:tcPr>
            <w:tcW w:w="0" w:type="auto"/>
            <w:tcBorders>
              <w:top w:val="outset" w:sz="6" w:space="0" w:color="auto"/>
              <w:left w:val="outset" w:sz="6" w:space="0" w:color="auto"/>
              <w:bottom w:val="outset" w:sz="6" w:space="0" w:color="auto"/>
              <w:right w:val="outset" w:sz="6" w:space="0" w:color="auto"/>
            </w:tcBorders>
            <w:hideMark/>
          </w:tcPr>
          <w:p w14:paraId="7499C270" w14:textId="32BDA0A6" w:rsidR="003813C6" w:rsidRDefault="003813C6" w:rsidP="003813C6">
            <w:pPr>
              <w:spacing w:after="0"/>
              <w:jc w:val="right"/>
              <w:rPr>
                <w:rFonts w:eastAsia="Times New Roman"/>
              </w:rPr>
            </w:pPr>
            <w:r w:rsidRPr="000E466A">
              <w:rPr>
                <w:rFonts w:ascii="ArialMT" w:hAnsi="ArialMT" w:cs="ArialMT"/>
                <w:kern w:val="0"/>
                <w:sz w:val="16"/>
                <w:szCs w:val="16"/>
              </w:rPr>
              <w:t>35.505.384,02</w:t>
            </w:r>
          </w:p>
        </w:tc>
        <w:tc>
          <w:tcPr>
            <w:tcW w:w="0" w:type="auto"/>
            <w:tcBorders>
              <w:top w:val="outset" w:sz="6" w:space="0" w:color="auto"/>
              <w:left w:val="outset" w:sz="6" w:space="0" w:color="auto"/>
              <w:bottom w:val="outset" w:sz="6" w:space="0" w:color="auto"/>
              <w:right w:val="outset" w:sz="6" w:space="0" w:color="auto"/>
            </w:tcBorders>
            <w:hideMark/>
          </w:tcPr>
          <w:p w14:paraId="49C537CD" w14:textId="36CB2D69" w:rsidR="003813C6" w:rsidRDefault="003813C6" w:rsidP="003813C6">
            <w:pPr>
              <w:spacing w:after="0"/>
              <w:jc w:val="right"/>
              <w:rPr>
                <w:rFonts w:eastAsia="Times New Roman"/>
              </w:rPr>
            </w:pPr>
            <w:r w:rsidRPr="00CC219C">
              <w:rPr>
                <w:rFonts w:ascii="ArialMT" w:hAnsi="ArialMT" w:cs="ArialMT"/>
                <w:kern w:val="0"/>
                <w:sz w:val="16"/>
                <w:szCs w:val="16"/>
              </w:rPr>
              <w:t>21,44%</w:t>
            </w:r>
          </w:p>
        </w:tc>
      </w:tr>
      <w:tr w:rsidR="003813C6" w14:paraId="56141DD9" w14:textId="77777777" w:rsidTr="0056256F">
        <w:tc>
          <w:tcPr>
            <w:tcW w:w="0" w:type="auto"/>
            <w:tcBorders>
              <w:top w:val="outset" w:sz="6" w:space="0" w:color="auto"/>
              <w:left w:val="outset" w:sz="6" w:space="0" w:color="auto"/>
              <w:bottom w:val="outset" w:sz="6" w:space="0" w:color="auto"/>
              <w:right w:val="outset" w:sz="6" w:space="0" w:color="auto"/>
            </w:tcBorders>
            <w:vAlign w:val="center"/>
            <w:hideMark/>
          </w:tcPr>
          <w:p w14:paraId="7F820DF0" w14:textId="77777777" w:rsidR="003813C6" w:rsidRDefault="003813C6" w:rsidP="003813C6">
            <w:pPr>
              <w:spacing w:after="0"/>
              <w:rPr>
                <w:rFonts w:eastAsia="Times New Roman"/>
              </w:rPr>
            </w:pPr>
            <w:r>
              <w:rPr>
                <w:rFonts w:ascii="Arial" w:eastAsia="Times New Roman" w:hAnsi="Arial" w:cs="Arial"/>
                <w:sz w:val="16"/>
                <w:szCs w:val="16"/>
              </w:rPr>
              <w:lastRenderedPageBreak/>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DB5EF" w14:textId="77777777" w:rsidR="003813C6" w:rsidRDefault="003813C6" w:rsidP="003813C6">
            <w:pPr>
              <w:spacing w:after="0"/>
              <w:jc w:val="right"/>
              <w:rPr>
                <w:rFonts w:eastAsia="Times New Roman"/>
              </w:rPr>
            </w:pPr>
            <w:r>
              <w:rPr>
                <w:rFonts w:ascii="Arial" w:eastAsia="Times New Roman" w:hAnsi="Arial" w:cs="Arial"/>
                <w:sz w:val="16"/>
                <w:szCs w:val="16"/>
              </w:rPr>
              <w:t>77.743.687,61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97482" w14:textId="77777777" w:rsidR="003813C6" w:rsidRDefault="003813C6" w:rsidP="003813C6">
            <w:pPr>
              <w:spacing w:after="0"/>
              <w:jc w:val="right"/>
              <w:rPr>
                <w:rFonts w:eastAsia="Times New Roman"/>
              </w:rPr>
            </w:pPr>
            <w:r>
              <w:rPr>
                <w:rFonts w:ascii="Arial" w:eastAsia="Times New Roman" w:hAnsi="Arial" w:cs="Arial"/>
                <w:sz w:val="16"/>
                <w:szCs w:val="16"/>
              </w:rPr>
              <w:t>37,37%</w:t>
            </w:r>
          </w:p>
        </w:tc>
        <w:tc>
          <w:tcPr>
            <w:tcW w:w="0" w:type="auto"/>
            <w:tcBorders>
              <w:top w:val="outset" w:sz="6" w:space="0" w:color="auto"/>
              <w:left w:val="outset" w:sz="6" w:space="0" w:color="auto"/>
              <w:bottom w:val="outset" w:sz="6" w:space="0" w:color="auto"/>
              <w:right w:val="outset" w:sz="6" w:space="0" w:color="auto"/>
            </w:tcBorders>
            <w:hideMark/>
          </w:tcPr>
          <w:p w14:paraId="0C975B2C" w14:textId="1664E111" w:rsidR="003813C6" w:rsidRDefault="003813C6" w:rsidP="003813C6">
            <w:pPr>
              <w:spacing w:after="0"/>
              <w:jc w:val="right"/>
              <w:rPr>
                <w:rFonts w:eastAsia="Times New Roman"/>
              </w:rPr>
            </w:pPr>
            <w:r w:rsidRPr="00AB6164">
              <w:rPr>
                <w:rFonts w:ascii="ArialMT" w:hAnsi="ArialMT" w:cs="ArialMT"/>
                <w:kern w:val="0"/>
                <w:sz w:val="16"/>
                <w:szCs w:val="16"/>
              </w:rPr>
              <w:t>66.838.561,34</w:t>
            </w:r>
          </w:p>
        </w:tc>
        <w:tc>
          <w:tcPr>
            <w:tcW w:w="0" w:type="auto"/>
            <w:tcBorders>
              <w:top w:val="outset" w:sz="6" w:space="0" w:color="auto"/>
              <w:left w:val="outset" w:sz="6" w:space="0" w:color="auto"/>
              <w:bottom w:val="outset" w:sz="6" w:space="0" w:color="auto"/>
              <w:right w:val="outset" w:sz="6" w:space="0" w:color="auto"/>
            </w:tcBorders>
            <w:hideMark/>
          </w:tcPr>
          <w:p w14:paraId="25916673" w14:textId="0E3D65D3" w:rsidR="003813C6" w:rsidRDefault="003813C6" w:rsidP="003813C6">
            <w:pPr>
              <w:spacing w:after="0"/>
              <w:jc w:val="right"/>
              <w:rPr>
                <w:rFonts w:eastAsia="Times New Roman"/>
              </w:rPr>
            </w:pPr>
            <w:r w:rsidRPr="00AB6164">
              <w:rPr>
                <w:rFonts w:ascii="ArialMT" w:hAnsi="ArialMT" w:cs="ArialMT"/>
                <w:kern w:val="0"/>
                <w:sz w:val="16"/>
                <w:szCs w:val="16"/>
              </w:rPr>
              <w:t>40,37%</w:t>
            </w:r>
          </w:p>
        </w:tc>
      </w:tr>
    </w:tbl>
    <w:p w14:paraId="47A45059" w14:textId="77777777" w:rsidR="00FE0C5A" w:rsidRDefault="000C18DB">
      <w:pPr>
        <w:pStyle w:val="NormalWeb"/>
        <w:jc w:val="both"/>
      </w:pPr>
      <w:r>
        <w:rPr>
          <w:rFonts w:ascii="Arial" w:hAnsi="Arial" w:cs="Arial"/>
          <w:sz w:val="20"/>
          <w:szCs w:val="20"/>
        </w:rPr>
        <w:t xml:space="preserve">Compõe o saldo da concentração de depositantes os valores captados através de Depósitos, Conta Benefício do INSS, Conta Salário, Ordens de </w:t>
      </w:r>
      <w:r>
        <w:rPr>
          <w:rFonts w:ascii="Arial" w:hAnsi="Arial" w:cs="Arial"/>
          <w:sz w:val="20"/>
          <w:szCs w:val="20"/>
        </w:rPr>
        <w:t>Pagamento e Recursos de Aceite e Emissão de Títulos. Os depósitos a prazo são considerados líquidos de impostos.</w:t>
      </w:r>
    </w:p>
    <w:p w14:paraId="05AB3E14" w14:textId="77777777" w:rsidR="00FE0C5A" w:rsidRDefault="000C18DB">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5604"/>
        <w:gridCol w:w="1384"/>
        <w:gridCol w:w="1500"/>
        <w:gridCol w:w="1500"/>
      </w:tblGrid>
      <w:tr w:rsidR="00FE0C5A" w14:paraId="3EBF5C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792D48"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AD67B"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316C8"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DD84A"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024CA4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470838" w14:textId="77777777" w:rsidR="00FE0C5A" w:rsidRDefault="000C18DB" w:rsidP="00F113BD">
            <w:pPr>
              <w:spacing w:after="0"/>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31B2C" w14:textId="77777777" w:rsidR="00FE0C5A" w:rsidRDefault="000C18DB" w:rsidP="00F113BD">
            <w:pPr>
              <w:spacing w:after="0"/>
              <w:jc w:val="right"/>
              <w:rPr>
                <w:rFonts w:eastAsia="Times New Roman"/>
              </w:rPr>
            </w:pPr>
            <w:r>
              <w:rPr>
                <w:rFonts w:ascii="Arial" w:eastAsia="Times New Roman" w:hAnsi="Arial" w:cs="Arial"/>
                <w:sz w:val="16"/>
                <w:szCs w:val="16"/>
              </w:rPr>
              <w:t>(5.070.827,79)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61DC1" w14:textId="77777777" w:rsidR="00FE0C5A" w:rsidRDefault="000C18DB" w:rsidP="00F113BD">
            <w:pPr>
              <w:spacing w:after="0"/>
              <w:jc w:val="right"/>
              <w:rPr>
                <w:rFonts w:eastAsia="Times New Roman"/>
              </w:rPr>
            </w:pPr>
            <w:r>
              <w:rPr>
                <w:rFonts w:ascii="Arial" w:eastAsia="Times New Roman" w:hAnsi="Arial" w:cs="Arial"/>
                <w:sz w:val="16"/>
                <w:szCs w:val="16"/>
              </w:rPr>
              <w:t>(9.756.920,37)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06CD9" w14:textId="77777777" w:rsidR="00FE0C5A" w:rsidRDefault="000C18DB" w:rsidP="00F113BD">
            <w:pPr>
              <w:spacing w:after="0"/>
              <w:jc w:val="right"/>
              <w:rPr>
                <w:rFonts w:eastAsia="Times New Roman"/>
              </w:rPr>
            </w:pPr>
            <w:r>
              <w:rPr>
                <w:rFonts w:ascii="Arial" w:eastAsia="Times New Roman" w:hAnsi="Arial" w:cs="Arial"/>
                <w:sz w:val="16"/>
                <w:szCs w:val="16"/>
              </w:rPr>
              <w:t>(9.309.489,48)</w:t>
            </w:r>
          </w:p>
        </w:tc>
      </w:tr>
      <w:tr w:rsidR="00FE0C5A" w14:paraId="4189FD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5D7891" w14:textId="77777777" w:rsidR="00FE0C5A" w:rsidRDefault="000C18DB" w:rsidP="00F113BD">
            <w:pPr>
              <w:spacing w:after="0"/>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3B0F" w14:textId="77777777" w:rsidR="00FE0C5A" w:rsidRDefault="000C18DB" w:rsidP="00F113BD">
            <w:pPr>
              <w:spacing w:after="0"/>
              <w:jc w:val="right"/>
              <w:rPr>
                <w:rFonts w:eastAsia="Times New Roman"/>
              </w:rPr>
            </w:pPr>
            <w:r>
              <w:rPr>
                <w:rFonts w:ascii="Arial" w:eastAsia="Times New Roman" w:hAnsi="Arial" w:cs="Arial"/>
                <w:sz w:val="16"/>
                <w:szCs w:val="16"/>
              </w:rPr>
              <w:t>(2.526.604,25)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1538B" w14:textId="77777777" w:rsidR="00FE0C5A" w:rsidRDefault="000C18DB" w:rsidP="00F113BD">
            <w:pPr>
              <w:spacing w:after="0"/>
              <w:jc w:val="right"/>
              <w:rPr>
                <w:rFonts w:eastAsia="Times New Roman"/>
              </w:rPr>
            </w:pPr>
            <w:r>
              <w:rPr>
                <w:rFonts w:ascii="Arial" w:eastAsia="Times New Roman" w:hAnsi="Arial" w:cs="Arial"/>
                <w:sz w:val="16"/>
                <w:szCs w:val="16"/>
              </w:rPr>
              <w:t>(4.696.964,73)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EAB9A" w14:textId="77777777" w:rsidR="00FE0C5A" w:rsidRDefault="000C18DB" w:rsidP="00F113BD">
            <w:pPr>
              <w:spacing w:after="0"/>
              <w:jc w:val="right"/>
              <w:rPr>
                <w:rFonts w:eastAsia="Times New Roman"/>
              </w:rPr>
            </w:pPr>
            <w:r>
              <w:rPr>
                <w:rFonts w:ascii="Arial" w:eastAsia="Times New Roman" w:hAnsi="Arial" w:cs="Arial"/>
                <w:sz w:val="16"/>
                <w:szCs w:val="16"/>
              </w:rPr>
              <w:t>(3.501.864,49)</w:t>
            </w:r>
          </w:p>
        </w:tc>
      </w:tr>
      <w:tr w:rsidR="00FE0C5A" w14:paraId="2613A7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E0264C" w14:textId="77777777" w:rsidR="00FE0C5A" w:rsidRDefault="000C18DB" w:rsidP="00F113BD">
            <w:pPr>
              <w:spacing w:after="0"/>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A1556" w14:textId="77777777" w:rsidR="00FE0C5A" w:rsidRDefault="000C18DB" w:rsidP="00F113BD">
            <w:pPr>
              <w:spacing w:after="0"/>
              <w:jc w:val="right"/>
              <w:rPr>
                <w:rFonts w:eastAsia="Times New Roman"/>
              </w:rPr>
            </w:pPr>
            <w:r>
              <w:rPr>
                <w:rFonts w:ascii="Arial" w:eastAsia="Times New Roman" w:hAnsi="Arial" w:cs="Arial"/>
                <w:sz w:val="16"/>
                <w:szCs w:val="16"/>
              </w:rPr>
              <w:t>(126.105,72)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17B60" w14:textId="77777777" w:rsidR="00FE0C5A" w:rsidRDefault="000C18DB" w:rsidP="00F113BD">
            <w:pPr>
              <w:spacing w:after="0"/>
              <w:jc w:val="right"/>
              <w:rPr>
                <w:rFonts w:eastAsia="Times New Roman"/>
              </w:rPr>
            </w:pPr>
            <w:r>
              <w:rPr>
                <w:rFonts w:ascii="Arial" w:eastAsia="Times New Roman" w:hAnsi="Arial" w:cs="Arial"/>
                <w:sz w:val="16"/>
                <w:szCs w:val="16"/>
              </w:rPr>
              <w:t>(221.406,34)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70ABC" w14:textId="77777777" w:rsidR="00FE0C5A" w:rsidRDefault="000C18DB" w:rsidP="00F113BD">
            <w:pPr>
              <w:spacing w:after="0"/>
              <w:jc w:val="right"/>
              <w:rPr>
                <w:rFonts w:eastAsia="Times New Roman"/>
              </w:rPr>
            </w:pPr>
            <w:r>
              <w:rPr>
                <w:rFonts w:ascii="Arial" w:eastAsia="Times New Roman" w:hAnsi="Arial" w:cs="Arial"/>
                <w:sz w:val="16"/>
                <w:szCs w:val="16"/>
              </w:rPr>
              <w:t>(51.593,99)</w:t>
            </w:r>
          </w:p>
        </w:tc>
      </w:tr>
      <w:tr w:rsidR="00FE0C5A" w14:paraId="3D067D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11F94A" w14:textId="77777777" w:rsidR="00FE0C5A" w:rsidRDefault="000C18DB" w:rsidP="00F113BD">
            <w:pPr>
              <w:spacing w:after="0"/>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5821E" w14:textId="77777777" w:rsidR="00FE0C5A" w:rsidRDefault="000C18DB" w:rsidP="00F113BD">
            <w:pPr>
              <w:spacing w:after="0"/>
              <w:jc w:val="right"/>
              <w:rPr>
                <w:rFonts w:eastAsia="Times New Roman"/>
              </w:rPr>
            </w:pPr>
            <w:r>
              <w:rPr>
                <w:rFonts w:ascii="Arial" w:eastAsia="Times New Roman" w:hAnsi="Arial" w:cs="Arial"/>
                <w:sz w:val="16"/>
                <w:szCs w:val="16"/>
              </w:rPr>
              <w:t>(158.383,41)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DAADE" w14:textId="77777777" w:rsidR="00FE0C5A" w:rsidRDefault="000C18DB" w:rsidP="00F113BD">
            <w:pPr>
              <w:spacing w:after="0"/>
              <w:jc w:val="right"/>
              <w:rPr>
                <w:rFonts w:eastAsia="Times New Roman"/>
              </w:rPr>
            </w:pPr>
            <w:r>
              <w:rPr>
                <w:rFonts w:ascii="Arial" w:eastAsia="Times New Roman" w:hAnsi="Arial" w:cs="Arial"/>
                <w:sz w:val="16"/>
                <w:szCs w:val="16"/>
              </w:rPr>
              <w:t>(290.643,20)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0C4B0" w14:textId="77777777" w:rsidR="00FE0C5A" w:rsidRDefault="000C18DB" w:rsidP="00F113BD">
            <w:pPr>
              <w:spacing w:after="0"/>
              <w:jc w:val="right"/>
              <w:rPr>
                <w:rFonts w:eastAsia="Times New Roman"/>
              </w:rPr>
            </w:pPr>
            <w:r>
              <w:rPr>
                <w:rFonts w:ascii="Arial" w:eastAsia="Times New Roman" w:hAnsi="Arial" w:cs="Arial"/>
                <w:sz w:val="16"/>
                <w:szCs w:val="16"/>
              </w:rPr>
              <w:t>(268.806,57)</w:t>
            </w:r>
          </w:p>
        </w:tc>
      </w:tr>
      <w:tr w:rsidR="00FE0C5A" w14:paraId="6AAD0B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F8A295"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20AD1" w14:textId="77777777" w:rsidR="00FE0C5A" w:rsidRDefault="000C18DB" w:rsidP="00F113BD">
            <w:pPr>
              <w:spacing w:after="0"/>
              <w:jc w:val="right"/>
              <w:rPr>
                <w:rFonts w:eastAsia="Times New Roman"/>
              </w:rPr>
            </w:pPr>
            <w:r>
              <w:rPr>
                <w:rFonts w:ascii="Arial" w:eastAsia="Times New Roman" w:hAnsi="Arial" w:cs="Arial"/>
                <w:b/>
                <w:bCs/>
                <w:sz w:val="16"/>
                <w:szCs w:val="16"/>
              </w:rPr>
              <w:t>(7.881.921,17)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5C1D9" w14:textId="77777777" w:rsidR="00FE0C5A" w:rsidRDefault="000C18DB" w:rsidP="00F113BD">
            <w:pPr>
              <w:spacing w:after="0"/>
              <w:jc w:val="right"/>
              <w:rPr>
                <w:rFonts w:eastAsia="Times New Roman"/>
              </w:rPr>
            </w:pPr>
            <w:r>
              <w:rPr>
                <w:rFonts w:ascii="Arial" w:eastAsia="Times New Roman" w:hAnsi="Arial" w:cs="Arial"/>
                <w:b/>
                <w:bCs/>
                <w:sz w:val="16"/>
                <w:szCs w:val="16"/>
              </w:rPr>
              <w:t>(14.965.934,64)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A9E71" w14:textId="77777777" w:rsidR="00FE0C5A" w:rsidRDefault="000C18DB" w:rsidP="00F113BD">
            <w:pPr>
              <w:spacing w:after="0"/>
              <w:jc w:val="right"/>
              <w:rPr>
                <w:rFonts w:eastAsia="Times New Roman"/>
              </w:rPr>
            </w:pPr>
            <w:r>
              <w:rPr>
                <w:rFonts w:ascii="Arial" w:eastAsia="Times New Roman" w:hAnsi="Arial" w:cs="Arial"/>
                <w:b/>
                <w:bCs/>
                <w:sz w:val="16"/>
                <w:szCs w:val="16"/>
              </w:rPr>
              <w:t>(13.131.754,53)</w:t>
            </w:r>
          </w:p>
        </w:tc>
      </w:tr>
    </w:tbl>
    <w:p w14:paraId="30196C08" w14:textId="3C1F347D" w:rsidR="00FE0C5A" w:rsidRDefault="000C18DB">
      <w:pPr>
        <w:pStyle w:val="NormalWeb"/>
      </w:pPr>
      <w:r>
        <w:rPr>
          <w:rFonts w:ascii="Arial" w:hAnsi="Arial" w:cs="Arial"/>
          <w:b/>
          <w:bCs/>
          <w:sz w:val="20"/>
          <w:szCs w:val="20"/>
        </w:rPr>
        <w:t>1</w:t>
      </w:r>
      <w:r w:rsidR="003813C6">
        <w:rPr>
          <w:rFonts w:ascii="Arial" w:hAnsi="Arial" w:cs="Arial"/>
          <w:b/>
          <w:bCs/>
          <w:sz w:val="20"/>
          <w:szCs w:val="20"/>
        </w:rPr>
        <w:t>3</w:t>
      </w:r>
      <w:r>
        <w:rPr>
          <w:rFonts w:ascii="Arial" w:hAnsi="Arial" w:cs="Arial"/>
          <w:b/>
          <w:bCs/>
          <w:sz w:val="20"/>
          <w:szCs w:val="20"/>
        </w:rPr>
        <w:t>. Recursos de Aceite e Emissão de Títulos</w:t>
      </w:r>
    </w:p>
    <w:p w14:paraId="5A52369D" w14:textId="77777777" w:rsidR="00FE0C5A" w:rsidRDefault="000C18DB">
      <w:pPr>
        <w:pStyle w:val="NormalWeb"/>
        <w:jc w:val="both"/>
      </w:pPr>
      <w:r>
        <w:rPr>
          <w:rFonts w:ascii="Arial" w:hAnsi="Arial" w:cs="Arial"/>
          <w:sz w:val="20"/>
          <w:szCs w:val="20"/>
        </w:rPr>
        <w:t xml:space="preserve">Referem-se às Letras de Crédito do Agronegócio – LCA que conferem direito de penhor sobre os </w:t>
      </w:r>
      <w:r>
        <w:rPr>
          <w:rFonts w:ascii="Arial" w:hAnsi="Arial" w:cs="Arial"/>
          <w:sz w:val="20"/>
          <w:szCs w:val="20"/>
        </w:rPr>
        <w:t>direitos creditórios do agronegócio a elas vinculados (Lei nº 11.076/2004) e às Letras de Crédito Imobiliário – LCI, lastreadas por créditos imobiliários garantidos por hipoteca ou por alienação fiduciária de coisa imóvel (Lei nº 10.931/2004). Em 31 de dezembro de 2023 e 2022, estão assim compostas:</w:t>
      </w:r>
    </w:p>
    <w:tbl>
      <w:tblPr>
        <w:tblW w:w="5000" w:type="pct"/>
        <w:tblCellMar>
          <w:left w:w="0" w:type="dxa"/>
          <w:right w:w="0" w:type="dxa"/>
        </w:tblCellMar>
        <w:tblLook w:val="04A0" w:firstRow="1" w:lastRow="0" w:firstColumn="1" w:lastColumn="0" w:noHBand="0" w:noVBand="1"/>
      </w:tblPr>
      <w:tblGrid>
        <w:gridCol w:w="3692"/>
        <w:gridCol w:w="1039"/>
        <w:gridCol w:w="1049"/>
        <w:gridCol w:w="1039"/>
        <w:gridCol w:w="1039"/>
        <w:gridCol w:w="1091"/>
        <w:gridCol w:w="1039"/>
      </w:tblGrid>
      <w:tr w:rsidR="00FE0C5A" w14:paraId="141AF45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05F85C"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15944C"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E70E43"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030D75B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91C5278"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94AD84"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19EAF"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171A0"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0B6A0"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B1E7A"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CD5A8"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34688C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6A6FC2" w14:textId="77777777" w:rsidR="00FE0C5A" w:rsidRDefault="000C18DB" w:rsidP="00F113BD">
            <w:pPr>
              <w:spacing w:after="0"/>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E43BD" w14:textId="77777777" w:rsidR="00FE0C5A" w:rsidRDefault="000C18DB" w:rsidP="00F113BD">
            <w:pPr>
              <w:spacing w:after="0"/>
              <w:jc w:val="right"/>
              <w:rPr>
                <w:rFonts w:eastAsia="Times New Roman"/>
              </w:rPr>
            </w:pPr>
            <w:r>
              <w:rPr>
                <w:rFonts w:ascii="Arial" w:eastAsia="Times New Roman" w:hAnsi="Arial" w:cs="Arial"/>
                <w:sz w:val="16"/>
                <w:szCs w:val="16"/>
              </w:rPr>
              <w:t>518.427,13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9877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EF052" w14:textId="77777777" w:rsidR="00FE0C5A" w:rsidRDefault="000C18DB" w:rsidP="00F113BD">
            <w:pPr>
              <w:spacing w:after="0"/>
              <w:jc w:val="right"/>
              <w:rPr>
                <w:rFonts w:eastAsia="Times New Roman"/>
              </w:rPr>
            </w:pPr>
            <w:r>
              <w:rPr>
                <w:rFonts w:ascii="Arial" w:eastAsia="Times New Roman" w:hAnsi="Arial" w:cs="Arial"/>
                <w:sz w:val="16"/>
                <w:szCs w:val="16"/>
              </w:rPr>
              <w:t>518.427,13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63894" w14:textId="77777777" w:rsidR="00FE0C5A" w:rsidRDefault="000C18DB" w:rsidP="00F113BD">
            <w:pPr>
              <w:spacing w:after="0"/>
              <w:jc w:val="right"/>
              <w:rPr>
                <w:rFonts w:eastAsia="Times New Roman"/>
              </w:rPr>
            </w:pPr>
            <w:r>
              <w:rPr>
                <w:rFonts w:ascii="Arial" w:eastAsia="Times New Roman" w:hAnsi="Arial" w:cs="Arial"/>
                <w:sz w:val="16"/>
                <w:szCs w:val="16"/>
              </w:rPr>
              <w:t>1.731.593,99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567D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DC0C2" w14:textId="77777777" w:rsidR="00FE0C5A" w:rsidRDefault="000C18DB" w:rsidP="00F113BD">
            <w:pPr>
              <w:spacing w:after="0"/>
              <w:jc w:val="right"/>
              <w:rPr>
                <w:rFonts w:eastAsia="Times New Roman"/>
              </w:rPr>
            </w:pPr>
            <w:r>
              <w:rPr>
                <w:rFonts w:ascii="Arial" w:eastAsia="Times New Roman" w:hAnsi="Arial" w:cs="Arial"/>
                <w:sz w:val="16"/>
                <w:szCs w:val="16"/>
              </w:rPr>
              <w:t>1.731.593,99</w:t>
            </w:r>
          </w:p>
        </w:tc>
      </w:tr>
      <w:tr w:rsidR="00FE0C5A" w14:paraId="15DC31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E4A7EF" w14:textId="77777777" w:rsidR="00FE0C5A" w:rsidRDefault="000C18DB" w:rsidP="00F113BD">
            <w:pPr>
              <w:spacing w:after="0"/>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B43D5" w14:textId="77777777" w:rsidR="00FE0C5A" w:rsidRDefault="000C18DB" w:rsidP="00F113BD">
            <w:pPr>
              <w:spacing w:after="0"/>
              <w:jc w:val="right"/>
              <w:rPr>
                <w:rFonts w:eastAsia="Times New Roman"/>
              </w:rPr>
            </w:pPr>
            <w:r>
              <w:rPr>
                <w:rFonts w:ascii="Arial" w:eastAsia="Times New Roman" w:hAnsi="Arial" w:cs="Arial"/>
                <w:sz w:val="16"/>
                <w:szCs w:val="16"/>
              </w:rPr>
              <w:t>44.008.451,82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60B3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8DF5F" w14:textId="77777777" w:rsidR="00FE0C5A" w:rsidRDefault="000C18DB" w:rsidP="00F113BD">
            <w:pPr>
              <w:spacing w:after="0"/>
              <w:jc w:val="right"/>
              <w:rPr>
                <w:rFonts w:eastAsia="Times New Roman"/>
              </w:rPr>
            </w:pPr>
            <w:r>
              <w:rPr>
                <w:rFonts w:ascii="Arial" w:eastAsia="Times New Roman" w:hAnsi="Arial" w:cs="Arial"/>
                <w:sz w:val="16"/>
                <w:szCs w:val="16"/>
              </w:rPr>
              <w:t>44.008.451,82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E27BE" w14:textId="77777777" w:rsidR="00FE0C5A" w:rsidRDefault="000C18DB" w:rsidP="00F113BD">
            <w:pPr>
              <w:spacing w:after="0"/>
              <w:jc w:val="right"/>
              <w:rPr>
                <w:rFonts w:eastAsia="Times New Roman"/>
              </w:rPr>
            </w:pPr>
            <w:r>
              <w:rPr>
                <w:rFonts w:ascii="Arial" w:eastAsia="Times New Roman" w:hAnsi="Arial" w:cs="Arial"/>
                <w:sz w:val="16"/>
                <w:szCs w:val="16"/>
              </w:rPr>
              <w:t>27.992.248,82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74A8A" w14:textId="77777777" w:rsidR="00FE0C5A" w:rsidRDefault="000C18DB" w:rsidP="00F113BD">
            <w:pPr>
              <w:spacing w:after="0"/>
              <w:jc w:val="right"/>
              <w:rPr>
                <w:rFonts w:eastAsia="Times New Roman"/>
              </w:rPr>
            </w:pPr>
            <w:r>
              <w:rPr>
                <w:rFonts w:ascii="Arial" w:eastAsia="Times New Roman" w:hAnsi="Arial" w:cs="Arial"/>
                <w:sz w:val="16"/>
                <w:szCs w:val="16"/>
              </w:rPr>
              <w:t>2.038.183,78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3518C" w14:textId="77777777" w:rsidR="00FE0C5A" w:rsidRDefault="000C18DB" w:rsidP="00F113BD">
            <w:pPr>
              <w:spacing w:after="0"/>
              <w:jc w:val="right"/>
              <w:rPr>
                <w:rFonts w:eastAsia="Times New Roman"/>
              </w:rPr>
            </w:pPr>
            <w:r>
              <w:rPr>
                <w:rFonts w:ascii="Arial" w:eastAsia="Times New Roman" w:hAnsi="Arial" w:cs="Arial"/>
                <w:sz w:val="16"/>
                <w:szCs w:val="16"/>
              </w:rPr>
              <w:t>30.030.432,60</w:t>
            </w:r>
          </w:p>
        </w:tc>
      </w:tr>
      <w:tr w:rsidR="00FE0C5A" w14:paraId="31C188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5BBE06"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5B35C" w14:textId="77777777" w:rsidR="00FE0C5A" w:rsidRDefault="000C18DB" w:rsidP="00F113BD">
            <w:pPr>
              <w:spacing w:after="0"/>
              <w:jc w:val="right"/>
              <w:rPr>
                <w:rFonts w:eastAsia="Times New Roman"/>
              </w:rPr>
            </w:pPr>
            <w:r>
              <w:rPr>
                <w:rFonts w:ascii="Arial" w:eastAsia="Times New Roman" w:hAnsi="Arial" w:cs="Arial"/>
                <w:b/>
                <w:bCs/>
                <w:sz w:val="16"/>
                <w:szCs w:val="16"/>
              </w:rPr>
              <w:t>44.526.878,95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EBFB2"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CB906" w14:textId="77777777" w:rsidR="00FE0C5A" w:rsidRDefault="000C18DB" w:rsidP="00F113BD">
            <w:pPr>
              <w:spacing w:after="0"/>
              <w:jc w:val="right"/>
              <w:rPr>
                <w:rFonts w:eastAsia="Times New Roman"/>
              </w:rPr>
            </w:pPr>
            <w:r>
              <w:rPr>
                <w:rFonts w:ascii="Arial" w:eastAsia="Times New Roman" w:hAnsi="Arial" w:cs="Arial"/>
                <w:b/>
                <w:bCs/>
                <w:sz w:val="16"/>
                <w:szCs w:val="16"/>
              </w:rPr>
              <w:t>44.526.878,95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2FF36" w14:textId="77777777" w:rsidR="00FE0C5A" w:rsidRDefault="000C18DB" w:rsidP="00F113BD">
            <w:pPr>
              <w:spacing w:after="0"/>
              <w:jc w:val="right"/>
              <w:rPr>
                <w:rFonts w:eastAsia="Times New Roman"/>
              </w:rPr>
            </w:pPr>
            <w:r>
              <w:rPr>
                <w:rFonts w:ascii="Arial" w:eastAsia="Times New Roman" w:hAnsi="Arial" w:cs="Arial"/>
                <w:b/>
                <w:bCs/>
                <w:sz w:val="16"/>
                <w:szCs w:val="16"/>
              </w:rPr>
              <w:t>29.723.842,81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580E6" w14:textId="77777777" w:rsidR="00FE0C5A" w:rsidRDefault="000C18DB" w:rsidP="00F113BD">
            <w:pPr>
              <w:spacing w:after="0"/>
              <w:jc w:val="right"/>
              <w:rPr>
                <w:rFonts w:eastAsia="Times New Roman"/>
              </w:rPr>
            </w:pPr>
            <w:r>
              <w:rPr>
                <w:rFonts w:ascii="Arial" w:eastAsia="Times New Roman" w:hAnsi="Arial" w:cs="Arial"/>
                <w:b/>
                <w:bCs/>
                <w:sz w:val="16"/>
                <w:szCs w:val="16"/>
              </w:rPr>
              <w:t>2.038.183,78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EDFED" w14:textId="77777777" w:rsidR="00FE0C5A" w:rsidRDefault="000C18DB" w:rsidP="00F113BD">
            <w:pPr>
              <w:spacing w:after="0"/>
              <w:jc w:val="right"/>
              <w:rPr>
                <w:rFonts w:eastAsia="Times New Roman"/>
              </w:rPr>
            </w:pPr>
            <w:r>
              <w:rPr>
                <w:rFonts w:ascii="Arial" w:eastAsia="Times New Roman" w:hAnsi="Arial" w:cs="Arial"/>
                <w:b/>
                <w:bCs/>
                <w:sz w:val="16"/>
                <w:szCs w:val="16"/>
              </w:rPr>
              <w:t>31.762.026,59</w:t>
            </w:r>
          </w:p>
        </w:tc>
      </w:tr>
    </w:tbl>
    <w:p w14:paraId="54B201E9" w14:textId="0C980984" w:rsidR="00FE0C5A" w:rsidRDefault="000C18DB">
      <w:pPr>
        <w:pStyle w:val="NormalWeb"/>
        <w:jc w:val="both"/>
      </w:pPr>
      <w:r>
        <w:rPr>
          <w:rFonts w:ascii="Arial" w:hAnsi="Arial" w:cs="Arial"/>
          <w:sz w:val="20"/>
          <w:szCs w:val="20"/>
        </w:rPr>
        <w:t xml:space="preserve">São remunerados por </w:t>
      </w:r>
      <w:r>
        <w:rPr>
          <w:rFonts w:ascii="Arial" w:hAnsi="Arial" w:cs="Arial"/>
          <w:sz w:val="20"/>
          <w:szCs w:val="20"/>
        </w:rPr>
        <w:t>encargos financeiros calculados com base em percentual do CDI - Certificado de Depósitos Interbancários. Os valores apropriados em despesas podem ser consultados na nota explicativa nº</w:t>
      </w:r>
      <w:r w:rsidR="003813C6">
        <w:rPr>
          <w:rFonts w:ascii="Arial" w:hAnsi="Arial" w:cs="Arial"/>
          <w:sz w:val="20"/>
          <w:szCs w:val="20"/>
        </w:rPr>
        <w:t xml:space="preserve"> 12. d</w:t>
      </w:r>
      <w:r>
        <w:rPr>
          <w:rFonts w:ascii="Arial" w:hAnsi="Arial" w:cs="Arial"/>
          <w:sz w:val="20"/>
          <w:szCs w:val="20"/>
        </w:rPr>
        <w:t xml:space="preserve"> - Depósitos - Despesas com operações de captação de mercado.</w:t>
      </w:r>
    </w:p>
    <w:p w14:paraId="4C001ABD" w14:textId="2454E96C" w:rsidR="00FE0C5A" w:rsidRDefault="000C18DB">
      <w:pPr>
        <w:pStyle w:val="NormalWeb"/>
        <w:jc w:val="both"/>
      </w:pPr>
      <w:r>
        <w:rPr>
          <w:rFonts w:ascii="Arial" w:hAnsi="Arial" w:cs="Arial"/>
          <w:b/>
          <w:bCs/>
          <w:sz w:val="20"/>
          <w:szCs w:val="20"/>
        </w:rPr>
        <w:t>1</w:t>
      </w:r>
      <w:r w:rsidR="003813C6">
        <w:rPr>
          <w:rFonts w:ascii="Arial" w:hAnsi="Arial" w:cs="Arial"/>
          <w:b/>
          <w:bCs/>
          <w:sz w:val="20"/>
          <w:szCs w:val="20"/>
        </w:rPr>
        <w:t>4</w:t>
      </w:r>
      <w:r>
        <w:rPr>
          <w:rFonts w:ascii="Arial" w:hAnsi="Arial" w:cs="Arial"/>
          <w:b/>
          <w:bCs/>
          <w:sz w:val="20"/>
          <w:szCs w:val="20"/>
        </w:rPr>
        <w:t>. Repasses Interfinanceiros / Obrigações por Empréstimos e Repasses</w:t>
      </w:r>
    </w:p>
    <w:p w14:paraId="3B0EAF5C" w14:textId="77777777" w:rsidR="00FE0C5A" w:rsidRDefault="000C18DB">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e Capital de Giro. As garantias oferecidas são a caução dos títulos de créditos dos associados beneficiados. Em 31 de dezembro de 2023 e 2022, estão assim compostos:</w:t>
      </w:r>
    </w:p>
    <w:p w14:paraId="3D6A2913" w14:textId="77777777" w:rsidR="00FE0C5A" w:rsidRDefault="000C18DB">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314"/>
        <w:gridCol w:w="1237"/>
        <w:gridCol w:w="1363"/>
        <w:gridCol w:w="1237"/>
        <w:gridCol w:w="1237"/>
        <w:gridCol w:w="1363"/>
        <w:gridCol w:w="1237"/>
      </w:tblGrid>
      <w:tr w:rsidR="00FE0C5A" w14:paraId="232B7F7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B690C6" w14:textId="77777777" w:rsidR="00FE0C5A" w:rsidRDefault="000C18DB" w:rsidP="00F113BD">
            <w:pPr>
              <w:spacing w:after="0"/>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DCD1B8"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667F39"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1690818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6C5657F"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D3A99A"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E6B6F"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C7024"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707CC"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2D41C"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FF617"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3AF691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C5380F" w14:textId="77777777" w:rsidR="00FE0C5A" w:rsidRDefault="000C18DB" w:rsidP="00F113BD">
            <w:pPr>
              <w:spacing w:after="0"/>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47D80" w14:textId="77777777" w:rsidR="00FE0C5A" w:rsidRDefault="000C18DB" w:rsidP="00F113BD">
            <w:pPr>
              <w:spacing w:after="0"/>
              <w:jc w:val="right"/>
              <w:rPr>
                <w:rFonts w:eastAsia="Times New Roman"/>
              </w:rPr>
            </w:pPr>
            <w:r>
              <w:rPr>
                <w:rFonts w:ascii="Arial" w:eastAsia="Times New Roman" w:hAnsi="Arial" w:cs="Arial"/>
                <w:sz w:val="16"/>
                <w:szCs w:val="16"/>
              </w:rPr>
              <w:t>56.871.783,24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F8079" w14:textId="77777777" w:rsidR="00FE0C5A" w:rsidRDefault="000C18DB" w:rsidP="00F113BD">
            <w:pPr>
              <w:spacing w:after="0"/>
              <w:jc w:val="right"/>
              <w:rPr>
                <w:rFonts w:eastAsia="Times New Roman"/>
              </w:rPr>
            </w:pPr>
            <w:r>
              <w:rPr>
                <w:rFonts w:ascii="Arial" w:eastAsia="Times New Roman" w:hAnsi="Arial" w:cs="Arial"/>
                <w:sz w:val="16"/>
                <w:szCs w:val="16"/>
              </w:rPr>
              <w:t>8.700.745,44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08E27" w14:textId="77777777" w:rsidR="00FE0C5A" w:rsidRDefault="000C18DB" w:rsidP="00F113BD">
            <w:pPr>
              <w:spacing w:after="0"/>
              <w:jc w:val="right"/>
              <w:rPr>
                <w:rFonts w:eastAsia="Times New Roman"/>
              </w:rPr>
            </w:pPr>
            <w:r>
              <w:rPr>
                <w:rFonts w:ascii="Arial" w:eastAsia="Times New Roman" w:hAnsi="Arial" w:cs="Arial"/>
                <w:sz w:val="16"/>
                <w:szCs w:val="16"/>
              </w:rPr>
              <w:t>65.572.528,68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A5319" w14:textId="77777777" w:rsidR="00FE0C5A" w:rsidRDefault="000C18DB" w:rsidP="00F113BD">
            <w:pPr>
              <w:spacing w:after="0"/>
              <w:jc w:val="right"/>
              <w:rPr>
                <w:rFonts w:eastAsia="Times New Roman"/>
              </w:rPr>
            </w:pPr>
            <w:r>
              <w:rPr>
                <w:rFonts w:ascii="Arial" w:eastAsia="Times New Roman" w:hAnsi="Arial" w:cs="Arial"/>
                <w:sz w:val="16"/>
                <w:szCs w:val="16"/>
              </w:rPr>
              <w:t>66.161.371,94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2B343" w14:textId="77777777" w:rsidR="00FE0C5A" w:rsidRDefault="000C18DB" w:rsidP="00F113BD">
            <w:pPr>
              <w:spacing w:after="0"/>
              <w:jc w:val="right"/>
              <w:rPr>
                <w:rFonts w:eastAsia="Times New Roman"/>
              </w:rPr>
            </w:pPr>
            <w:r>
              <w:rPr>
                <w:rFonts w:ascii="Arial" w:eastAsia="Times New Roman" w:hAnsi="Arial" w:cs="Arial"/>
                <w:sz w:val="16"/>
                <w:szCs w:val="16"/>
              </w:rPr>
              <w:t>6.013.146,57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3C843" w14:textId="77777777" w:rsidR="00FE0C5A" w:rsidRDefault="000C18DB" w:rsidP="00F113BD">
            <w:pPr>
              <w:spacing w:after="0"/>
              <w:jc w:val="right"/>
              <w:rPr>
                <w:rFonts w:eastAsia="Times New Roman"/>
              </w:rPr>
            </w:pPr>
            <w:r>
              <w:rPr>
                <w:rFonts w:ascii="Arial" w:eastAsia="Times New Roman" w:hAnsi="Arial" w:cs="Arial"/>
                <w:sz w:val="16"/>
                <w:szCs w:val="16"/>
              </w:rPr>
              <w:t>72.174.518,51</w:t>
            </w:r>
          </w:p>
        </w:tc>
      </w:tr>
      <w:tr w:rsidR="00FE0C5A" w14:paraId="49DB44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3E68F2" w14:textId="77777777" w:rsidR="00FE0C5A" w:rsidRDefault="000C18DB" w:rsidP="00F113BD">
            <w:pPr>
              <w:spacing w:after="0"/>
              <w:rPr>
                <w:rFonts w:eastAsia="Times New Roman"/>
              </w:rPr>
            </w:pPr>
            <w:r>
              <w:rPr>
                <w:rFonts w:ascii="Arial" w:eastAsia="Times New Roman" w:hAnsi="Arial" w:cs="Arial"/>
                <w:sz w:val="16"/>
                <w:szCs w:val="16"/>
              </w:rPr>
              <w:t>Recursos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CC503" w14:textId="77777777" w:rsidR="00FE0C5A" w:rsidRDefault="000C18DB" w:rsidP="00F113BD">
            <w:pPr>
              <w:spacing w:after="0"/>
              <w:jc w:val="right"/>
              <w:rPr>
                <w:rFonts w:eastAsia="Times New Roman"/>
              </w:rPr>
            </w:pPr>
            <w:r>
              <w:rPr>
                <w:rFonts w:ascii="Arial" w:eastAsia="Times New Roman" w:hAnsi="Arial" w:cs="Arial"/>
                <w:sz w:val="16"/>
                <w:szCs w:val="16"/>
              </w:rPr>
              <w:t>6.099.834,71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EC74D" w14:textId="77777777" w:rsidR="00FE0C5A" w:rsidRDefault="000C18DB" w:rsidP="00F113BD">
            <w:pPr>
              <w:spacing w:after="0"/>
              <w:jc w:val="right"/>
              <w:rPr>
                <w:rFonts w:eastAsia="Times New Roman"/>
              </w:rPr>
            </w:pPr>
            <w:r>
              <w:rPr>
                <w:rFonts w:ascii="Arial" w:eastAsia="Times New Roman" w:hAnsi="Arial" w:cs="Arial"/>
                <w:sz w:val="16"/>
                <w:szCs w:val="16"/>
              </w:rPr>
              <w:t>5.368.433,88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0AC30" w14:textId="77777777" w:rsidR="00FE0C5A" w:rsidRDefault="000C18DB" w:rsidP="00F113BD">
            <w:pPr>
              <w:spacing w:after="0"/>
              <w:jc w:val="right"/>
              <w:rPr>
                <w:rFonts w:eastAsia="Times New Roman"/>
              </w:rPr>
            </w:pPr>
            <w:r>
              <w:rPr>
                <w:rFonts w:ascii="Arial" w:eastAsia="Times New Roman" w:hAnsi="Arial" w:cs="Arial"/>
                <w:sz w:val="16"/>
                <w:szCs w:val="16"/>
              </w:rPr>
              <w:t>11.468.268,59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A97C3" w14:textId="77777777" w:rsidR="00FE0C5A" w:rsidRDefault="000C18DB" w:rsidP="00F113BD">
            <w:pPr>
              <w:spacing w:after="0"/>
              <w:jc w:val="right"/>
              <w:rPr>
                <w:rFonts w:eastAsia="Times New Roman"/>
              </w:rPr>
            </w:pPr>
            <w:r>
              <w:rPr>
                <w:rFonts w:ascii="Arial" w:eastAsia="Times New Roman" w:hAnsi="Arial" w:cs="Arial"/>
                <w:sz w:val="16"/>
                <w:szCs w:val="16"/>
              </w:rPr>
              <w:t>6.606.234,65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CE403" w14:textId="77777777" w:rsidR="00FE0C5A" w:rsidRDefault="000C18DB" w:rsidP="00F113BD">
            <w:pPr>
              <w:spacing w:after="0"/>
              <w:jc w:val="right"/>
              <w:rPr>
                <w:rFonts w:eastAsia="Times New Roman"/>
              </w:rPr>
            </w:pPr>
            <w:r>
              <w:rPr>
                <w:rFonts w:ascii="Arial" w:eastAsia="Times New Roman" w:hAnsi="Arial" w:cs="Arial"/>
                <w:sz w:val="16"/>
                <w:szCs w:val="16"/>
              </w:rPr>
              <w:t>5.768.425,62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42E91" w14:textId="77777777" w:rsidR="00FE0C5A" w:rsidRDefault="000C18DB" w:rsidP="00F113BD">
            <w:pPr>
              <w:spacing w:after="0"/>
              <w:jc w:val="right"/>
              <w:rPr>
                <w:rFonts w:eastAsia="Times New Roman"/>
              </w:rPr>
            </w:pPr>
            <w:r>
              <w:rPr>
                <w:rFonts w:ascii="Arial" w:eastAsia="Times New Roman" w:hAnsi="Arial" w:cs="Arial"/>
                <w:sz w:val="16"/>
                <w:szCs w:val="16"/>
              </w:rPr>
              <w:t>12.374.660,27</w:t>
            </w:r>
          </w:p>
        </w:tc>
      </w:tr>
      <w:tr w:rsidR="00FE0C5A" w14:paraId="57D99D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E365D7" w14:textId="12870321" w:rsidR="00FE0C5A" w:rsidRDefault="000C18DB" w:rsidP="003813C6">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6D527" w14:textId="77777777" w:rsidR="00FE0C5A" w:rsidRDefault="000C18DB" w:rsidP="00F113BD">
            <w:pPr>
              <w:spacing w:after="0"/>
              <w:jc w:val="right"/>
              <w:rPr>
                <w:rFonts w:eastAsia="Times New Roman"/>
              </w:rPr>
            </w:pPr>
            <w:r>
              <w:rPr>
                <w:rFonts w:ascii="Arial" w:eastAsia="Times New Roman" w:hAnsi="Arial" w:cs="Arial"/>
                <w:b/>
                <w:bCs/>
                <w:sz w:val="16"/>
                <w:szCs w:val="16"/>
              </w:rPr>
              <w:t>62.971.617,95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C1050" w14:textId="77777777" w:rsidR="00FE0C5A" w:rsidRDefault="000C18DB" w:rsidP="00F113BD">
            <w:pPr>
              <w:spacing w:after="0"/>
              <w:jc w:val="right"/>
              <w:rPr>
                <w:rFonts w:eastAsia="Times New Roman"/>
              </w:rPr>
            </w:pPr>
            <w:r>
              <w:rPr>
                <w:rFonts w:ascii="Arial" w:eastAsia="Times New Roman" w:hAnsi="Arial" w:cs="Arial"/>
                <w:b/>
                <w:bCs/>
                <w:sz w:val="16"/>
                <w:szCs w:val="16"/>
              </w:rPr>
              <w:t>14.069.179,32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A8A0F" w14:textId="77777777" w:rsidR="00FE0C5A" w:rsidRDefault="000C18DB" w:rsidP="00F113BD">
            <w:pPr>
              <w:spacing w:after="0"/>
              <w:jc w:val="right"/>
              <w:rPr>
                <w:rFonts w:eastAsia="Times New Roman"/>
              </w:rPr>
            </w:pPr>
            <w:r>
              <w:rPr>
                <w:rFonts w:ascii="Arial" w:eastAsia="Times New Roman" w:hAnsi="Arial" w:cs="Arial"/>
                <w:b/>
                <w:bCs/>
                <w:sz w:val="16"/>
                <w:szCs w:val="16"/>
              </w:rPr>
              <w:t>77.040.797,27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F0F61" w14:textId="77777777" w:rsidR="00FE0C5A" w:rsidRDefault="000C18DB" w:rsidP="00F113BD">
            <w:pPr>
              <w:spacing w:after="0"/>
              <w:jc w:val="right"/>
              <w:rPr>
                <w:rFonts w:eastAsia="Times New Roman"/>
              </w:rPr>
            </w:pPr>
            <w:r>
              <w:rPr>
                <w:rFonts w:ascii="Arial" w:eastAsia="Times New Roman" w:hAnsi="Arial" w:cs="Arial"/>
                <w:b/>
                <w:bCs/>
                <w:sz w:val="16"/>
                <w:szCs w:val="16"/>
              </w:rPr>
              <w:t>72.767.606,59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DE358" w14:textId="77777777" w:rsidR="00FE0C5A" w:rsidRDefault="000C18DB" w:rsidP="00F113BD">
            <w:pPr>
              <w:spacing w:after="0"/>
              <w:jc w:val="right"/>
              <w:rPr>
                <w:rFonts w:eastAsia="Times New Roman"/>
              </w:rPr>
            </w:pPr>
            <w:r>
              <w:rPr>
                <w:rFonts w:ascii="Arial" w:eastAsia="Times New Roman" w:hAnsi="Arial" w:cs="Arial"/>
                <w:b/>
                <w:bCs/>
                <w:sz w:val="16"/>
                <w:szCs w:val="16"/>
              </w:rPr>
              <w:t>11.781.572,19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7580C" w14:textId="77777777" w:rsidR="00FE0C5A" w:rsidRDefault="000C18DB" w:rsidP="00F113BD">
            <w:pPr>
              <w:spacing w:after="0"/>
              <w:jc w:val="right"/>
              <w:rPr>
                <w:rFonts w:eastAsia="Times New Roman"/>
              </w:rPr>
            </w:pPr>
            <w:r>
              <w:rPr>
                <w:rFonts w:ascii="Arial" w:eastAsia="Times New Roman" w:hAnsi="Arial" w:cs="Arial"/>
                <w:b/>
                <w:bCs/>
                <w:sz w:val="16"/>
                <w:szCs w:val="16"/>
              </w:rPr>
              <w:t>84.549.178,78</w:t>
            </w:r>
          </w:p>
        </w:tc>
      </w:tr>
    </w:tbl>
    <w:p w14:paraId="68AED58D" w14:textId="0997587C" w:rsidR="00FE0C5A" w:rsidRDefault="000C18DB">
      <w:pPr>
        <w:pStyle w:val="NormalWeb"/>
        <w:jc w:val="both"/>
      </w:pPr>
      <w:r>
        <w:rPr>
          <w:rFonts w:ascii="Arial" w:hAnsi="Arial" w:cs="Arial"/>
          <w:sz w:val="20"/>
          <w:szCs w:val="20"/>
        </w:rPr>
        <w:t xml:space="preserve">As taxas de juros praticadas nas operações interfinanceiras com o Banco Sicoob correspondem a uma média de </w:t>
      </w:r>
      <w:r w:rsidR="003813C6">
        <w:rPr>
          <w:rFonts w:ascii="Arial" w:hAnsi="Arial" w:cs="Arial"/>
          <w:sz w:val="20"/>
          <w:szCs w:val="20"/>
        </w:rPr>
        <w:t>8</w:t>
      </w:r>
      <w:r>
        <w:rPr>
          <w:rFonts w:ascii="Arial" w:hAnsi="Arial" w:cs="Arial"/>
          <w:sz w:val="20"/>
          <w:szCs w:val="20"/>
        </w:rPr>
        <w:t>% ao ano, com vencimento até</w:t>
      </w:r>
      <w:r w:rsidR="003813C6">
        <w:rPr>
          <w:rFonts w:ascii="Arial" w:hAnsi="Arial" w:cs="Arial"/>
          <w:sz w:val="20"/>
          <w:szCs w:val="20"/>
        </w:rPr>
        <w:t xml:space="preserve"> 05/09/2035</w:t>
      </w:r>
      <w:r>
        <w:rPr>
          <w:rFonts w:ascii="Arial" w:hAnsi="Arial" w:cs="Arial"/>
          <w:sz w:val="20"/>
          <w:szCs w:val="20"/>
        </w:rPr>
        <w:t xml:space="preserve">. As operações com Recursos da Central correspondem a uma taxa média de </w:t>
      </w:r>
      <w:r w:rsidR="003813C6">
        <w:rPr>
          <w:rFonts w:ascii="Arial" w:hAnsi="Arial" w:cs="Arial"/>
          <w:sz w:val="20"/>
          <w:szCs w:val="20"/>
        </w:rPr>
        <w:t>8,03</w:t>
      </w:r>
      <w:r>
        <w:rPr>
          <w:rFonts w:ascii="Arial" w:hAnsi="Arial" w:cs="Arial"/>
          <w:sz w:val="20"/>
          <w:szCs w:val="20"/>
        </w:rPr>
        <w:t xml:space="preserve">% ao ano, com vencimento até </w:t>
      </w:r>
      <w:r w:rsidR="003813C6">
        <w:rPr>
          <w:rFonts w:ascii="Arial" w:hAnsi="Arial" w:cs="Arial"/>
          <w:sz w:val="20"/>
          <w:szCs w:val="20"/>
        </w:rPr>
        <w:t>05/12/2029</w:t>
      </w:r>
      <w:r>
        <w:rPr>
          <w:rFonts w:ascii="Arial" w:hAnsi="Arial" w:cs="Arial"/>
          <w:sz w:val="20"/>
          <w:szCs w:val="20"/>
        </w:rPr>
        <w:t>.</w:t>
      </w:r>
    </w:p>
    <w:p w14:paraId="1643613C" w14:textId="77777777" w:rsidR="00FE0C5A" w:rsidRPr="001A63AA" w:rsidRDefault="000C18DB">
      <w:pPr>
        <w:pStyle w:val="NormalWeb"/>
        <w:jc w:val="both"/>
      </w:pPr>
      <w:r w:rsidRPr="001A63AA">
        <w:rPr>
          <w:rFonts w:ascii="Arial" w:hAnsi="Arial" w:cs="Arial"/>
          <w:sz w:val="20"/>
          <w:szCs w:val="20"/>
        </w:rPr>
        <w:t>b) Obrigações por Empréstimos e Repasses:</w:t>
      </w:r>
    </w:p>
    <w:tbl>
      <w:tblPr>
        <w:tblW w:w="5000" w:type="pct"/>
        <w:tblCellMar>
          <w:left w:w="0" w:type="dxa"/>
          <w:right w:w="0" w:type="dxa"/>
        </w:tblCellMar>
        <w:tblLook w:val="04A0" w:firstRow="1" w:lastRow="0" w:firstColumn="1" w:lastColumn="0" w:noHBand="0" w:noVBand="1"/>
      </w:tblPr>
      <w:tblGrid>
        <w:gridCol w:w="3442"/>
        <w:gridCol w:w="1157"/>
        <w:gridCol w:w="1395"/>
        <w:gridCol w:w="1157"/>
        <w:gridCol w:w="972"/>
        <w:gridCol w:w="1395"/>
        <w:gridCol w:w="470"/>
      </w:tblGrid>
      <w:tr w:rsidR="00FE0C5A" w:rsidRPr="001A63AA" w14:paraId="3AB6F43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F5FA90"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lastRenderedPageBreak/>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9A2FE4"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A2C25E7"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t>31/12/2022</w:t>
            </w:r>
          </w:p>
        </w:tc>
      </w:tr>
      <w:tr w:rsidR="00FE0C5A" w:rsidRPr="001A63AA" w14:paraId="286E2D8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7C3F85D" w14:textId="77777777" w:rsidR="00FE0C5A" w:rsidRPr="001A63A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1BD077"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9466A"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F1A89"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9E54B"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E3AD3"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37C8D"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t>Total</w:t>
            </w:r>
          </w:p>
        </w:tc>
      </w:tr>
      <w:tr w:rsidR="00FE0C5A" w:rsidRPr="001A63AA" w14:paraId="67EB33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D46024" w14:textId="77777777" w:rsidR="00FE0C5A" w:rsidRPr="001A63AA" w:rsidRDefault="000C18DB" w:rsidP="00F113BD">
            <w:pPr>
              <w:spacing w:after="0"/>
              <w:rPr>
                <w:rFonts w:eastAsia="Times New Roman"/>
              </w:rPr>
            </w:pPr>
            <w:r w:rsidRPr="001A63AA">
              <w:rPr>
                <w:rFonts w:ascii="Arial" w:eastAsia="Times New Roman" w:hAnsi="Arial" w:cs="Arial"/>
                <w:sz w:val="16"/>
                <w:szCs w:val="16"/>
              </w:rPr>
              <w:t>Repasses do País - Instituições Oficiais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91A58" w14:textId="77777777" w:rsidR="00FE0C5A" w:rsidRPr="001A63AA" w:rsidRDefault="000C18DB" w:rsidP="00F113BD">
            <w:pPr>
              <w:spacing w:after="0"/>
              <w:jc w:val="right"/>
              <w:rPr>
                <w:rFonts w:eastAsia="Times New Roman"/>
              </w:rPr>
            </w:pPr>
            <w:r w:rsidRPr="001A63AA">
              <w:rPr>
                <w:rFonts w:ascii="Arial" w:eastAsia="Times New Roman" w:hAnsi="Arial" w:cs="Arial"/>
                <w:sz w:val="16"/>
                <w:szCs w:val="16"/>
              </w:rPr>
              <w:t>6.624.045,00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496EF" w14:textId="77777777" w:rsidR="00FE0C5A" w:rsidRPr="001A63AA" w:rsidRDefault="000C18DB" w:rsidP="00F113BD">
            <w:pPr>
              <w:spacing w:after="0"/>
              <w:jc w:val="right"/>
              <w:rPr>
                <w:rFonts w:eastAsia="Times New Roman"/>
              </w:rPr>
            </w:pPr>
            <w:r w:rsidRPr="001A63AA">
              <w:rPr>
                <w:rFonts w:ascii="Arial" w:eastAsia="Times New Roman" w:hAnsi="Arial" w:cs="Arial"/>
                <w:sz w:val="16"/>
                <w:szCs w:val="16"/>
              </w:rPr>
              <w:t>1.377.009,95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F170F" w14:textId="77777777" w:rsidR="00FE0C5A" w:rsidRPr="001A63AA" w:rsidRDefault="000C18DB" w:rsidP="00F113BD">
            <w:pPr>
              <w:spacing w:after="0"/>
              <w:jc w:val="right"/>
              <w:rPr>
                <w:rFonts w:eastAsia="Times New Roman"/>
              </w:rPr>
            </w:pPr>
            <w:r w:rsidRPr="001A63AA">
              <w:rPr>
                <w:rFonts w:ascii="Arial" w:eastAsia="Times New Roman" w:hAnsi="Arial" w:cs="Arial"/>
                <w:sz w:val="16"/>
                <w:szCs w:val="16"/>
              </w:rPr>
              <w:t>8.001.054,95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451D3" w14:textId="77777777" w:rsidR="00FE0C5A" w:rsidRPr="001A63AA" w:rsidRDefault="000C18DB" w:rsidP="00F113BD">
            <w:pPr>
              <w:spacing w:after="0"/>
              <w:jc w:val="center"/>
              <w:rPr>
                <w:rFonts w:eastAsia="Times New Roman"/>
              </w:rPr>
            </w:pPr>
            <w:r w:rsidRPr="001A63AA">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3C80C" w14:textId="77777777" w:rsidR="00FE0C5A" w:rsidRPr="001A63AA" w:rsidRDefault="000C18DB" w:rsidP="00F113BD">
            <w:pPr>
              <w:spacing w:after="0"/>
              <w:jc w:val="center"/>
              <w:rPr>
                <w:rFonts w:eastAsia="Times New Roman"/>
              </w:rPr>
            </w:pPr>
            <w:r w:rsidRPr="001A63AA">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E3746" w14:textId="77777777" w:rsidR="00FE0C5A" w:rsidRPr="001A63AA" w:rsidRDefault="000C18DB" w:rsidP="00F113BD">
            <w:pPr>
              <w:spacing w:after="0"/>
              <w:jc w:val="center"/>
              <w:rPr>
                <w:rFonts w:eastAsia="Times New Roman"/>
              </w:rPr>
            </w:pPr>
            <w:r w:rsidRPr="001A63AA">
              <w:rPr>
                <w:rFonts w:ascii="Arial" w:eastAsia="Times New Roman" w:hAnsi="Arial" w:cs="Arial"/>
                <w:sz w:val="16"/>
                <w:szCs w:val="16"/>
              </w:rPr>
              <w:t>-</w:t>
            </w:r>
          </w:p>
        </w:tc>
      </w:tr>
      <w:tr w:rsidR="00FE0C5A" w:rsidRPr="001A63AA" w14:paraId="4E305E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2E0760" w14:textId="608FB92A" w:rsidR="00FE0C5A" w:rsidRPr="001A63AA" w:rsidRDefault="000C18DB" w:rsidP="003813C6">
            <w:pPr>
              <w:spacing w:after="0"/>
              <w:jc w:val="center"/>
              <w:rPr>
                <w:rFonts w:eastAsia="Times New Roman"/>
              </w:rPr>
            </w:pPr>
            <w:r w:rsidRPr="001A63AA">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BC8E" w14:textId="77777777" w:rsidR="00FE0C5A" w:rsidRPr="001A63AA" w:rsidRDefault="000C18DB" w:rsidP="00F113BD">
            <w:pPr>
              <w:spacing w:after="0"/>
              <w:jc w:val="right"/>
              <w:rPr>
                <w:rFonts w:eastAsia="Times New Roman"/>
              </w:rPr>
            </w:pPr>
            <w:r w:rsidRPr="001A63AA">
              <w:rPr>
                <w:rFonts w:ascii="Arial" w:eastAsia="Times New Roman" w:hAnsi="Arial" w:cs="Arial"/>
                <w:b/>
                <w:bCs/>
                <w:sz w:val="16"/>
                <w:szCs w:val="16"/>
              </w:rPr>
              <w:t>6.624.045,00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73C6D" w14:textId="77777777" w:rsidR="00FE0C5A" w:rsidRPr="001A63AA" w:rsidRDefault="000C18DB" w:rsidP="00F113BD">
            <w:pPr>
              <w:spacing w:after="0"/>
              <w:jc w:val="right"/>
              <w:rPr>
                <w:rFonts w:eastAsia="Times New Roman"/>
              </w:rPr>
            </w:pPr>
            <w:r w:rsidRPr="001A63AA">
              <w:rPr>
                <w:rFonts w:ascii="Arial" w:eastAsia="Times New Roman" w:hAnsi="Arial" w:cs="Arial"/>
                <w:b/>
                <w:bCs/>
                <w:sz w:val="16"/>
                <w:szCs w:val="16"/>
              </w:rPr>
              <w:t>1.377.009,95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5D4D8" w14:textId="77777777" w:rsidR="00FE0C5A" w:rsidRPr="001A63AA" w:rsidRDefault="000C18DB" w:rsidP="00F113BD">
            <w:pPr>
              <w:spacing w:after="0"/>
              <w:jc w:val="right"/>
              <w:rPr>
                <w:rFonts w:eastAsia="Times New Roman"/>
              </w:rPr>
            </w:pPr>
            <w:r w:rsidRPr="001A63AA">
              <w:rPr>
                <w:rFonts w:ascii="Arial" w:eastAsia="Times New Roman" w:hAnsi="Arial" w:cs="Arial"/>
                <w:b/>
                <w:bCs/>
                <w:sz w:val="16"/>
                <w:szCs w:val="16"/>
              </w:rPr>
              <w:t>8.001.054,95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36BF7"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1B920"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7C4A9" w14:textId="77777777" w:rsidR="00FE0C5A" w:rsidRPr="001A63AA" w:rsidRDefault="000C18DB" w:rsidP="00F113BD">
            <w:pPr>
              <w:spacing w:after="0"/>
              <w:jc w:val="center"/>
              <w:rPr>
                <w:rFonts w:eastAsia="Times New Roman"/>
              </w:rPr>
            </w:pPr>
            <w:r w:rsidRPr="001A63AA">
              <w:rPr>
                <w:rFonts w:ascii="Arial" w:eastAsia="Times New Roman" w:hAnsi="Arial" w:cs="Arial"/>
                <w:b/>
                <w:bCs/>
                <w:sz w:val="16"/>
                <w:szCs w:val="16"/>
              </w:rPr>
              <w:t>-</w:t>
            </w:r>
          </w:p>
        </w:tc>
      </w:tr>
    </w:tbl>
    <w:p w14:paraId="27774CEC" w14:textId="3EDD8BC3" w:rsidR="00FE0C5A" w:rsidRDefault="001A63AA">
      <w:pPr>
        <w:pStyle w:val="NormalWeb"/>
        <w:jc w:val="both"/>
      </w:pPr>
      <w:r w:rsidRPr="001A63AA">
        <w:rPr>
          <w:rFonts w:ascii="Arial" w:hAnsi="Arial" w:cs="Arial"/>
          <w:sz w:val="20"/>
          <w:szCs w:val="20"/>
        </w:rPr>
        <w:t>As taxas de juros praticadas nas operações de FUNCAFE ­ Fundo de Defesa da Economia Cafeeira com o Ministério da Agricultura, Pecuária e Abastecimento correspondem a uma média de 11,00% ao ano, com vencimento até 28/06/2024.</w:t>
      </w:r>
    </w:p>
    <w:p w14:paraId="26CEBA79" w14:textId="77777777" w:rsidR="00FE0C5A" w:rsidRDefault="000C18DB">
      <w:pPr>
        <w:pStyle w:val="NormalWeb"/>
        <w:jc w:val="both"/>
      </w:pPr>
      <w:r>
        <w:rPr>
          <w:rFonts w:ascii="Arial" w:hAnsi="Arial" w:cs="Arial"/>
          <w:sz w:val="20"/>
          <w:szCs w:val="20"/>
        </w:rPr>
        <w:t>c) Despesas de Operações de Empréstimos e Repasses:</w:t>
      </w:r>
    </w:p>
    <w:tbl>
      <w:tblPr>
        <w:tblW w:w="5000" w:type="pct"/>
        <w:tblCellMar>
          <w:left w:w="0" w:type="dxa"/>
          <w:right w:w="0" w:type="dxa"/>
        </w:tblCellMar>
        <w:tblLook w:val="04A0" w:firstRow="1" w:lastRow="0" w:firstColumn="1" w:lastColumn="0" w:noHBand="0" w:noVBand="1"/>
      </w:tblPr>
      <w:tblGrid>
        <w:gridCol w:w="5161"/>
        <w:gridCol w:w="1609"/>
        <w:gridCol w:w="1609"/>
        <w:gridCol w:w="1609"/>
      </w:tblGrid>
      <w:tr w:rsidR="00FE0C5A" w14:paraId="11511A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D48B66"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4A0EB"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E418C"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55A2B"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5A0795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6B17BF" w14:textId="77777777" w:rsidR="00FE0C5A" w:rsidRDefault="000C18DB" w:rsidP="00F113BD">
            <w:pPr>
              <w:spacing w:after="0"/>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AEC6D" w14:textId="77777777" w:rsidR="00FE0C5A" w:rsidRDefault="000C18DB" w:rsidP="00F113BD">
            <w:pPr>
              <w:spacing w:after="0"/>
              <w:jc w:val="right"/>
              <w:rPr>
                <w:rFonts w:eastAsia="Times New Roman"/>
              </w:rPr>
            </w:pPr>
            <w:r>
              <w:rPr>
                <w:rFonts w:ascii="Arial" w:eastAsia="Times New Roman" w:hAnsi="Arial" w:cs="Arial"/>
                <w:sz w:val="16"/>
                <w:szCs w:val="16"/>
              </w:rPr>
              <w:t>(3.248.614,37)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CFD1E" w14:textId="77777777" w:rsidR="00FE0C5A" w:rsidRDefault="000C18DB" w:rsidP="00F113BD">
            <w:pPr>
              <w:spacing w:after="0"/>
              <w:jc w:val="right"/>
              <w:rPr>
                <w:rFonts w:eastAsia="Times New Roman"/>
              </w:rPr>
            </w:pPr>
            <w:r>
              <w:rPr>
                <w:rFonts w:ascii="Arial" w:eastAsia="Times New Roman" w:hAnsi="Arial" w:cs="Arial"/>
                <w:sz w:val="16"/>
                <w:szCs w:val="16"/>
              </w:rPr>
              <w:t>(6.575.873,36)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75AEA" w14:textId="77777777" w:rsidR="00FE0C5A" w:rsidRDefault="000C18DB" w:rsidP="00F113BD">
            <w:pPr>
              <w:spacing w:after="0"/>
              <w:jc w:val="right"/>
              <w:rPr>
                <w:rFonts w:eastAsia="Times New Roman"/>
              </w:rPr>
            </w:pPr>
            <w:r>
              <w:rPr>
                <w:rFonts w:ascii="Arial" w:eastAsia="Times New Roman" w:hAnsi="Arial" w:cs="Arial"/>
                <w:sz w:val="16"/>
                <w:szCs w:val="16"/>
              </w:rPr>
              <w:t>(2.764.866,54)</w:t>
            </w:r>
          </w:p>
        </w:tc>
      </w:tr>
      <w:tr w:rsidR="00FE0C5A" w14:paraId="34EF37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0DAE87" w14:textId="77777777" w:rsidR="00FE0C5A" w:rsidRDefault="000C18DB" w:rsidP="00F113BD">
            <w:pPr>
              <w:spacing w:after="0"/>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D706C" w14:textId="77777777" w:rsidR="00FE0C5A" w:rsidRDefault="000C18DB" w:rsidP="00F113BD">
            <w:pPr>
              <w:spacing w:after="0"/>
              <w:jc w:val="right"/>
              <w:rPr>
                <w:rFonts w:eastAsia="Times New Roman"/>
              </w:rPr>
            </w:pPr>
            <w:r>
              <w:rPr>
                <w:rFonts w:ascii="Arial" w:eastAsia="Times New Roman" w:hAnsi="Arial" w:cs="Arial"/>
                <w:sz w:val="16"/>
                <w:szCs w:val="16"/>
              </w:rPr>
              <w:t>(804.778,19)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EB0FB" w14:textId="77777777" w:rsidR="00FE0C5A" w:rsidRDefault="000C18DB" w:rsidP="00F113BD">
            <w:pPr>
              <w:spacing w:after="0"/>
              <w:jc w:val="right"/>
              <w:rPr>
                <w:rFonts w:eastAsia="Times New Roman"/>
              </w:rPr>
            </w:pPr>
            <w:r>
              <w:rPr>
                <w:rFonts w:ascii="Arial" w:eastAsia="Times New Roman" w:hAnsi="Arial" w:cs="Arial"/>
                <w:sz w:val="16"/>
                <w:szCs w:val="16"/>
              </w:rPr>
              <w:t>(1.576.245,80)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86D8B" w14:textId="77777777" w:rsidR="00FE0C5A" w:rsidRDefault="000C18DB" w:rsidP="00F113BD">
            <w:pPr>
              <w:spacing w:after="0"/>
              <w:jc w:val="right"/>
              <w:rPr>
                <w:rFonts w:eastAsia="Times New Roman"/>
              </w:rPr>
            </w:pPr>
            <w:r>
              <w:rPr>
                <w:rFonts w:ascii="Arial" w:eastAsia="Times New Roman" w:hAnsi="Arial" w:cs="Arial"/>
                <w:sz w:val="16"/>
                <w:szCs w:val="16"/>
              </w:rPr>
              <w:t>(528.616,25)</w:t>
            </w:r>
          </w:p>
        </w:tc>
      </w:tr>
      <w:tr w:rsidR="00FE0C5A" w14:paraId="05DB05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34DB12" w14:textId="77777777" w:rsidR="00FE0C5A" w:rsidRDefault="000C18DB" w:rsidP="00F113BD">
            <w:pPr>
              <w:spacing w:after="0"/>
              <w:rPr>
                <w:rFonts w:eastAsia="Times New Roman"/>
              </w:rPr>
            </w:pPr>
            <w:r>
              <w:rPr>
                <w:rFonts w:ascii="Arial" w:eastAsia="Times New Roman" w:hAnsi="Arial" w:cs="Arial"/>
                <w:sz w:val="16"/>
                <w:szCs w:val="16"/>
              </w:rPr>
              <w:t>Outras 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5305B" w14:textId="77777777" w:rsidR="00FE0C5A" w:rsidRDefault="000C18DB" w:rsidP="00F113BD">
            <w:pPr>
              <w:spacing w:after="0"/>
              <w:jc w:val="right"/>
              <w:rPr>
                <w:rFonts w:eastAsia="Times New Roman"/>
              </w:rPr>
            </w:pPr>
            <w:r>
              <w:rPr>
                <w:rFonts w:ascii="Arial" w:eastAsia="Times New Roman" w:hAnsi="Arial" w:cs="Arial"/>
                <w:sz w:val="16"/>
                <w:szCs w:val="16"/>
              </w:rPr>
              <w:t>(284.158,40)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D05B2" w14:textId="77777777" w:rsidR="00FE0C5A" w:rsidRDefault="000C18DB" w:rsidP="00F113BD">
            <w:pPr>
              <w:spacing w:after="0"/>
              <w:jc w:val="right"/>
              <w:rPr>
                <w:rFonts w:eastAsia="Times New Roman"/>
              </w:rPr>
            </w:pPr>
            <w:r>
              <w:rPr>
                <w:rFonts w:ascii="Arial" w:eastAsia="Times New Roman" w:hAnsi="Arial" w:cs="Arial"/>
                <w:sz w:val="16"/>
                <w:szCs w:val="16"/>
              </w:rPr>
              <w:t>(284.158,40)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07A92"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1EFEEF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5EF2DC"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7C1E7" w14:textId="77777777" w:rsidR="00FE0C5A" w:rsidRDefault="000C18DB" w:rsidP="00F113BD">
            <w:pPr>
              <w:spacing w:after="0"/>
              <w:jc w:val="right"/>
              <w:rPr>
                <w:rFonts w:eastAsia="Times New Roman"/>
              </w:rPr>
            </w:pPr>
            <w:r>
              <w:rPr>
                <w:rFonts w:ascii="Arial" w:eastAsia="Times New Roman" w:hAnsi="Arial" w:cs="Arial"/>
                <w:b/>
                <w:bCs/>
                <w:sz w:val="16"/>
                <w:szCs w:val="16"/>
              </w:rPr>
              <w:t>(4.337.550,96)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6AEE8" w14:textId="77777777" w:rsidR="00FE0C5A" w:rsidRDefault="000C18DB" w:rsidP="00F113BD">
            <w:pPr>
              <w:spacing w:after="0"/>
              <w:jc w:val="right"/>
              <w:rPr>
                <w:rFonts w:eastAsia="Times New Roman"/>
              </w:rPr>
            </w:pPr>
            <w:r>
              <w:rPr>
                <w:rFonts w:ascii="Arial" w:eastAsia="Times New Roman" w:hAnsi="Arial" w:cs="Arial"/>
                <w:b/>
                <w:bCs/>
                <w:sz w:val="16"/>
                <w:szCs w:val="16"/>
              </w:rPr>
              <w:t>(8.436.277,56)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0DB03" w14:textId="77777777" w:rsidR="00FE0C5A" w:rsidRDefault="000C18DB" w:rsidP="00F113BD">
            <w:pPr>
              <w:spacing w:after="0"/>
              <w:jc w:val="right"/>
              <w:rPr>
                <w:rFonts w:eastAsia="Times New Roman"/>
              </w:rPr>
            </w:pPr>
            <w:r>
              <w:rPr>
                <w:rFonts w:ascii="Arial" w:eastAsia="Times New Roman" w:hAnsi="Arial" w:cs="Arial"/>
                <w:b/>
                <w:bCs/>
                <w:sz w:val="16"/>
                <w:szCs w:val="16"/>
              </w:rPr>
              <w:t>(3.293.482,79)</w:t>
            </w:r>
          </w:p>
        </w:tc>
      </w:tr>
    </w:tbl>
    <w:p w14:paraId="673D9361" w14:textId="73C8A841" w:rsidR="00FE0C5A" w:rsidRDefault="00060DA0">
      <w:pPr>
        <w:pStyle w:val="NormalWeb"/>
      </w:pPr>
      <w:r>
        <w:rPr>
          <w:rFonts w:ascii="Arial" w:hAnsi="Arial" w:cs="Arial"/>
          <w:b/>
          <w:bCs/>
          <w:sz w:val="20"/>
          <w:szCs w:val="20"/>
        </w:rPr>
        <w:t>15. Outros Passivos Financeiros</w:t>
      </w:r>
    </w:p>
    <w:p w14:paraId="404BCD86" w14:textId="77777777" w:rsidR="00FE0C5A" w:rsidRDefault="000C18DB">
      <w:pPr>
        <w:pStyle w:val="NormalWeb"/>
        <w:jc w:val="both"/>
      </w:pPr>
      <w:r>
        <w:rPr>
          <w:rFonts w:ascii="Arial" w:hAnsi="Arial" w:cs="Arial"/>
          <w:sz w:val="20"/>
          <w:szCs w:val="20"/>
        </w:rPr>
        <w:t xml:space="preserve">Os recursos de terceiros que estão com a Cooperativa são registrados nessa conta para </w:t>
      </w:r>
      <w:r>
        <w:rPr>
          <w:rFonts w:ascii="Arial" w:hAnsi="Arial" w:cs="Arial"/>
          <w:sz w:val="20"/>
          <w:szCs w:val="20"/>
        </w:rPr>
        <w:t>posterior repasse, por sua ordem. Em 31 de dezembro de 2023 e 2022, estão assim compostos:</w:t>
      </w:r>
    </w:p>
    <w:tbl>
      <w:tblPr>
        <w:tblW w:w="5000" w:type="pct"/>
        <w:tblCellMar>
          <w:left w:w="0" w:type="dxa"/>
          <w:right w:w="0" w:type="dxa"/>
        </w:tblCellMar>
        <w:tblLook w:val="04A0" w:firstRow="1" w:lastRow="0" w:firstColumn="1" w:lastColumn="0" w:noHBand="0" w:noVBand="1"/>
      </w:tblPr>
      <w:tblGrid>
        <w:gridCol w:w="3936"/>
        <w:gridCol w:w="950"/>
        <w:gridCol w:w="1126"/>
        <w:gridCol w:w="950"/>
        <w:gridCol w:w="950"/>
        <w:gridCol w:w="1126"/>
        <w:gridCol w:w="950"/>
      </w:tblGrid>
      <w:tr w:rsidR="00FE0C5A" w14:paraId="79E907F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186CFD"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F1A018C"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BA3751"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7B470BA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BE4BF37"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888B4F"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4FF96"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DE592"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D0834"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07787"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63834"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7C876D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9680DF" w14:textId="0ECCF31F" w:rsidR="00FE0C5A" w:rsidRDefault="000C18DB" w:rsidP="00F113BD">
            <w:pPr>
              <w:spacing w:after="0"/>
              <w:rPr>
                <w:rFonts w:eastAsia="Times New Roman"/>
              </w:rPr>
            </w:pPr>
            <w:r>
              <w:rPr>
                <w:rFonts w:ascii="Arial" w:eastAsia="Times New Roman" w:hAnsi="Arial" w:cs="Arial"/>
                <w:sz w:val="16"/>
                <w:szCs w:val="16"/>
              </w:rPr>
              <w:t>Recursos em Trânsito de Terceiros</w:t>
            </w:r>
            <w:r w:rsidR="00060DA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AD33C" w14:textId="77777777" w:rsidR="00FE0C5A" w:rsidRDefault="000C18DB" w:rsidP="00F113BD">
            <w:pPr>
              <w:spacing w:after="0"/>
              <w:jc w:val="right"/>
              <w:rPr>
                <w:rFonts w:eastAsia="Times New Roman"/>
              </w:rPr>
            </w:pPr>
            <w:r>
              <w:rPr>
                <w:rFonts w:ascii="Arial" w:eastAsia="Times New Roman" w:hAnsi="Arial" w:cs="Arial"/>
                <w:sz w:val="16"/>
                <w:szCs w:val="16"/>
              </w:rPr>
              <w:t>1.620.994,58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6981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658FD" w14:textId="77777777" w:rsidR="00FE0C5A" w:rsidRDefault="000C18DB" w:rsidP="00F113BD">
            <w:pPr>
              <w:spacing w:after="0"/>
              <w:jc w:val="right"/>
              <w:rPr>
                <w:rFonts w:eastAsia="Times New Roman"/>
              </w:rPr>
            </w:pPr>
            <w:r>
              <w:rPr>
                <w:rFonts w:ascii="Arial" w:eastAsia="Times New Roman" w:hAnsi="Arial" w:cs="Arial"/>
                <w:sz w:val="16"/>
                <w:szCs w:val="16"/>
              </w:rPr>
              <w:t>1.620.994,58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0D48E" w14:textId="77777777" w:rsidR="00FE0C5A" w:rsidRDefault="000C18DB" w:rsidP="00F113BD">
            <w:pPr>
              <w:spacing w:after="0"/>
              <w:jc w:val="right"/>
              <w:rPr>
                <w:rFonts w:eastAsia="Times New Roman"/>
              </w:rPr>
            </w:pPr>
            <w:r>
              <w:rPr>
                <w:rFonts w:ascii="Arial" w:eastAsia="Times New Roman" w:hAnsi="Arial" w:cs="Arial"/>
                <w:sz w:val="16"/>
                <w:szCs w:val="16"/>
              </w:rPr>
              <w:t>1.933.486,19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6FBC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5602D" w14:textId="77777777" w:rsidR="00FE0C5A" w:rsidRDefault="000C18DB" w:rsidP="00F113BD">
            <w:pPr>
              <w:spacing w:after="0"/>
              <w:jc w:val="right"/>
              <w:rPr>
                <w:rFonts w:eastAsia="Times New Roman"/>
              </w:rPr>
            </w:pPr>
            <w:r>
              <w:rPr>
                <w:rFonts w:ascii="Arial" w:eastAsia="Times New Roman" w:hAnsi="Arial" w:cs="Arial"/>
                <w:sz w:val="16"/>
                <w:szCs w:val="16"/>
              </w:rPr>
              <w:t>1.933.486,19</w:t>
            </w:r>
          </w:p>
        </w:tc>
      </w:tr>
      <w:tr w:rsidR="00FE0C5A" w14:paraId="08C10F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76EDFD" w14:textId="77777777" w:rsidR="00FE0C5A" w:rsidRDefault="000C18DB" w:rsidP="00F113BD">
            <w:pPr>
              <w:spacing w:after="0"/>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4F686" w14:textId="77777777" w:rsidR="00FE0C5A" w:rsidRDefault="000C18DB" w:rsidP="00F113BD">
            <w:pPr>
              <w:spacing w:after="0"/>
              <w:jc w:val="right"/>
              <w:rPr>
                <w:rFonts w:eastAsia="Times New Roman"/>
              </w:rPr>
            </w:pPr>
            <w:r>
              <w:rPr>
                <w:rFonts w:ascii="Arial" w:eastAsia="Times New Roman" w:hAnsi="Arial" w:cs="Arial"/>
                <w:sz w:val="16"/>
                <w:szCs w:val="16"/>
              </w:rPr>
              <w:t>35.409,59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2570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0C9E2" w14:textId="77777777" w:rsidR="00FE0C5A" w:rsidRDefault="000C18DB" w:rsidP="00F113BD">
            <w:pPr>
              <w:spacing w:after="0"/>
              <w:jc w:val="right"/>
              <w:rPr>
                <w:rFonts w:eastAsia="Times New Roman"/>
              </w:rPr>
            </w:pPr>
            <w:r>
              <w:rPr>
                <w:rFonts w:ascii="Arial" w:eastAsia="Times New Roman" w:hAnsi="Arial" w:cs="Arial"/>
                <w:sz w:val="16"/>
                <w:szCs w:val="16"/>
              </w:rPr>
              <w:t>35.409,59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DBAFF" w14:textId="77777777" w:rsidR="00FE0C5A" w:rsidRDefault="000C18DB" w:rsidP="00F113BD">
            <w:pPr>
              <w:spacing w:after="0"/>
              <w:jc w:val="right"/>
              <w:rPr>
                <w:rFonts w:eastAsia="Times New Roman"/>
              </w:rPr>
            </w:pPr>
            <w:r>
              <w:rPr>
                <w:rFonts w:ascii="Arial" w:eastAsia="Times New Roman" w:hAnsi="Arial" w:cs="Arial"/>
                <w:sz w:val="16"/>
                <w:szCs w:val="16"/>
              </w:rPr>
              <w:t>9.859,82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B7E9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411F0" w14:textId="77777777" w:rsidR="00FE0C5A" w:rsidRDefault="000C18DB" w:rsidP="00F113BD">
            <w:pPr>
              <w:spacing w:after="0"/>
              <w:jc w:val="right"/>
              <w:rPr>
                <w:rFonts w:eastAsia="Times New Roman"/>
              </w:rPr>
            </w:pPr>
            <w:r>
              <w:rPr>
                <w:rFonts w:ascii="Arial" w:eastAsia="Times New Roman" w:hAnsi="Arial" w:cs="Arial"/>
                <w:sz w:val="16"/>
                <w:szCs w:val="16"/>
              </w:rPr>
              <w:t>9.859,82</w:t>
            </w:r>
          </w:p>
        </w:tc>
      </w:tr>
      <w:tr w:rsidR="00FE0C5A" w14:paraId="098F32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6AA6DB" w14:textId="1D79762F" w:rsidR="00FE0C5A" w:rsidRDefault="000C18DB" w:rsidP="00F113BD">
            <w:pPr>
              <w:spacing w:after="0"/>
              <w:rPr>
                <w:rFonts w:eastAsia="Times New Roman"/>
              </w:rPr>
            </w:pPr>
            <w:r>
              <w:rPr>
                <w:rFonts w:ascii="Arial" w:eastAsia="Times New Roman" w:hAnsi="Arial" w:cs="Arial"/>
                <w:sz w:val="16"/>
                <w:szCs w:val="16"/>
              </w:rPr>
              <w:t>Cobrança E Arrecadação de Tributos e Assemelhados</w:t>
            </w:r>
            <w:r w:rsidR="00060DA0">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0108D" w14:textId="77777777" w:rsidR="00FE0C5A" w:rsidRDefault="000C18DB" w:rsidP="00F113BD">
            <w:pPr>
              <w:spacing w:after="0"/>
              <w:jc w:val="right"/>
              <w:rPr>
                <w:rFonts w:eastAsia="Times New Roman"/>
              </w:rPr>
            </w:pPr>
            <w:r>
              <w:rPr>
                <w:rFonts w:ascii="Arial" w:eastAsia="Times New Roman" w:hAnsi="Arial" w:cs="Arial"/>
                <w:sz w:val="16"/>
                <w:szCs w:val="16"/>
              </w:rPr>
              <w:t>34.950,02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7C7C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77C2D" w14:textId="77777777" w:rsidR="00FE0C5A" w:rsidRDefault="000C18DB" w:rsidP="00F113BD">
            <w:pPr>
              <w:spacing w:after="0"/>
              <w:jc w:val="right"/>
              <w:rPr>
                <w:rFonts w:eastAsia="Times New Roman"/>
              </w:rPr>
            </w:pPr>
            <w:r>
              <w:rPr>
                <w:rFonts w:ascii="Arial" w:eastAsia="Times New Roman" w:hAnsi="Arial" w:cs="Arial"/>
                <w:sz w:val="16"/>
                <w:szCs w:val="16"/>
              </w:rPr>
              <w:t>34.950,02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3993F" w14:textId="77777777" w:rsidR="00FE0C5A" w:rsidRDefault="000C18DB" w:rsidP="00F113BD">
            <w:pPr>
              <w:spacing w:after="0"/>
              <w:jc w:val="right"/>
              <w:rPr>
                <w:rFonts w:eastAsia="Times New Roman"/>
              </w:rPr>
            </w:pPr>
            <w:r>
              <w:rPr>
                <w:rFonts w:ascii="Arial" w:eastAsia="Times New Roman" w:hAnsi="Arial" w:cs="Arial"/>
                <w:sz w:val="16"/>
                <w:szCs w:val="16"/>
              </w:rPr>
              <w:t>91.567,16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AE9F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F8286" w14:textId="77777777" w:rsidR="00FE0C5A" w:rsidRDefault="000C18DB" w:rsidP="00F113BD">
            <w:pPr>
              <w:spacing w:after="0"/>
              <w:jc w:val="right"/>
              <w:rPr>
                <w:rFonts w:eastAsia="Times New Roman"/>
              </w:rPr>
            </w:pPr>
            <w:r>
              <w:rPr>
                <w:rFonts w:ascii="Arial" w:eastAsia="Times New Roman" w:hAnsi="Arial" w:cs="Arial"/>
                <w:sz w:val="16"/>
                <w:szCs w:val="16"/>
              </w:rPr>
              <w:t>91.567,16</w:t>
            </w:r>
          </w:p>
        </w:tc>
      </w:tr>
      <w:tr w:rsidR="00FE0C5A" w14:paraId="153A87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A1D603"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C0D1A" w14:textId="77777777" w:rsidR="00FE0C5A" w:rsidRDefault="000C18DB" w:rsidP="00F113BD">
            <w:pPr>
              <w:spacing w:after="0"/>
              <w:jc w:val="right"/>
              <w:rPr>
                <w:rFonts w:eastAsia="Times New Roman"/>
              </w:rPr>
            </w:pPr>
            <w:r>
              <w:rPr>
                <w:rFonts w:ascii="Arial" w:eastAsia="Times New Roman" w:hAnsi="Arial" w:cs="Arial"/>
                <w:b/>
                <w:bCs/>
                <w:sz w:val="16"/>
                <w:szCs w:val="16"/>
              </w:rPr>
              <w:t>1.691.354,19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F7A62"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6D691" w14:textId="77777777" w:rsidR="00FE0C5A" w:rsidRDefault="000C18DB" w:rsidP="00F113BD">
            <w:pPr>
              <w:spacing w:after="0"/>
              <w:jc w:val="right"/>
              <w:rPr>
                <w:rFonts w:eastAsia="Times New Roman"/>
              </w:rPr>
            </w:pPr>
            <w:r>
              <w:rPr>
                <w:rFonts w:ascii="Arial" w:eastAsia="Times New Roman" w:hAnsi="Arial" w:cs="Arial"/>
                <w:b/>
                <w:bCs/>
                <w:sz w:val="16"/>
                <w:szCs w:val="16"/>
              </w:rPr>
              <w:t>1.691.354,19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27820" w14:textId="77777777" w:rsidR="00FE0C5A" w:rsidRDefault="000C18DB" w:rsidP="00F113BD">
            <w:pPr>
              <w:spacing w:after="0"/>
              <w:jc w:val="right"/>
              <w:rPr>
                <w:rFonts w:eastAsia="Times New Roman"/>
              </w:rPr>
            </w:pPr>
            <w:r>
              <w:rPr>
                <w:rFonts w:ascii="Arial" w:eastAsia="Times New Roman" w:hAnsi="Arial" w:cs="Arial"/>
                <w:b/>
                <w:bCs/>
                <w:sz w:val="16"/>
                <w:szCs w:val="16"/>
              </w:rPr>
              <w:t>2.034.913,17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762C7"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54F93" w14:textId="77777777" w:rsidR="00FE0C5A" w:rsidRDefault="000C18DB" w:rsidP="00F113BD">
            <w:pPr>
              <w:spacing w:after="0"/>
              <w:jc w:val="right"/>
              <w:rPr>
                <w:rFonts w:eastAsia="Times New Roman"/>
              </w:rPr>
            </w:pPr>
            <w:r>
              <w:rPr>
                <w:rFonts w:ascii="Arial" w:eastAsia="Times New Roman" w:hAnsi="Arial" w:cs="Arial"/>
                <w:b/>
                <w:bCs/>
                <w:sz w:val="16"/>
                <w:szCs w:val="16"/>
              </w:rPr>
              <w:t>2.034.913,17</w:t>
            </w:r>
          </w:p>
        </w:tc>
      </w:tr>
    </w:tbl>
    <w:p w14:paraId="2097A3D1" w14:textId="77777777" w:rsidR="00FE0C5A" w:rsidRDefault="000C18DB">
      <w:pPr>
        <w:pStyle w:val="NormalWeb"/>
        <w:jc w:val="both"/>
      </w:pPr>
      <w:r>
        <w:rPr>
          <w:rFonts w:ascii="Arial" w:hAnsi="Arial" w:cs="Arial"/>
          <w:sz w:val="20"/>
          <w:szCs w:val="20"/>
        </w:rPr>
        <w:t>(a) Em Recursos em Trânsito de Terceiros estão registrados:</w:t>
      </w:r>
    </w:p>
    <w:tbl>
      <w:tblPr>
        <w:tblW w:w="5000" w:type="pct"/>
        <w:tblCellMar>
          <w:left w:w="0" w:type="dxa"/>
          <w:right w:w="0" w:type="dxa"/>
        </w:tblCellMar>
        <w:tblLook w:val="04A0" w:firstRow="1" w:lastRow="0" w:firstColumn="1" w:lastColumn="0" w:noHBand="0" w:noVBand="1"/>
      </w:tblPr>
      <w:tblGrid>
        <w:gridCol w:w="3302"/>
        <w:gridCol w:w="1043"/>
        <w:gridCol w:w="1257"/>
        <w:gridCol w:w="1043"/>
        <w:gridCol w:w="1043"/>
        <w:gridCol w:w="1257"/>
        <w:gridCol w:w="1043"/>
      </w:tblGrid>
      <w:tr w:rsidR="00FE0C5A" w14:paraId="17E476A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743EF3"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A9FD432"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9C5136"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633FD4B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2A8F668"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01B26D"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6AD61"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63B67"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1BE19"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6C390"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9362A"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73D8DB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CFE984" w14:textId="77777777" w:rsidR="00FE0C5A" w:rsidRDefault="000C18DB" w:rsidP="00F113BD">
            <w:pPr>
              <w:spacing w:after="0"/>
              <w:rPr>
                <w:rFonts w:eastAsia="Times New Roman"/>
              </w:rPr>
            </w:pPr>
            <w:r>
              <w:rPr>
                <w:rFonts w:ascii="Arial" w:eastAsia="Times New Roman" w:hAnsi="Arial" w:cs="Arial"/>
                <w:sz w:val="16"/>
                <w:szCs w:val="16"/>
              </w:rPr>
              <w:t xml:space="preserve">Convênio de Energia Elétrica e Gás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E248D" w14:textId="77777777" w:rsidR="00FE0C5A" w:rsidRDefault="000C18DB" w:rsidP="00F113BD">
            <w:pPr>
              <w:spacing w:after="0"/>
              <w:jc w:val="right"/>
              <w:rPr>
                <w:rFonts w:eastAsia="Times New Roman"/>
              </w:rPr>
            </w:pPr>
            <w:r>
              <w:rPr>
                <w:rFonts w:ascii="Arial" w:eastAsia="Times New Roman" w:hAnsi="Arial" w:cs="Arial"/>
                <w:sz w:val="16"/>
                <w:szCs w:val="16"/>
              </w:rPr>
              <w:t>29.679,57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D068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FF93B" w14:textId="77777777" w:rsidR="00FE0C5A" w:rsidRDefault="000C18DB" w:rsidP="00F113BD">
            <w:pPr>
              <w:spacing w:after="0"/>
              <w:jc w:val="right"/>
              <w:rPr>
                <w:rFonts w:eastAsia="Times New Roman"/>
              </w:rPr>
            </w:pPr>
            <w:r>
              <w:rPr>
                <w:rFonts w:ascii="Arial" w:eastAsia="Times New Roman" w:hAnsi="Arial" w:cs="Arial"/>
                <w:sz w:val="16"/>
                <w:szCs w:val="16"/>
              </w:rPr>
              <w:t>29.679,57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908E8" w14:textId="77777777" w:rsidR="00FE0C5A" w:rsidRDefault="000C18DB" w:rsidP="00F113BD">
            <w:pPr>
              <w:spacing w:after="0"/>
              <w:jc w:val="right"/>
              <w:rPr>
                <w:rFonts w:eastAsia="Times New Roman"/>
              </w:rPr>
            </w:pPr>
            <w:r>
              <w:rPr>
                <w:rFonts w:ascii="Arial" w:eastAsia="Times New Roman" w:hAnsi="Arial" w:cs="Arial"/>
                <w:sz w:val="16"/>
                <w:szCs w:val="16"/>
              </w:rPr>
              <w:t>6.872,42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74FC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D22B3" w14:textId="77777777" w:rsidR="00FE0C5A" w:rsidRDefault="000C18DB" w:rsidP="00F113BD">
            <w:pPr>
              <w:spacing w:after="0"/>
              <w:jc w:val="right"/>
              <w:rPr>
                <w:rFonts w:eastAsia="Times New Roman"/>
              </w:rPr>
            </w:pPr>
            <w:r>
              <w:rPr>
                <w:rFonts w:ascii="Arial" w:eastAsia="Times New Roman" w:hAnsi="Arial" w:cs="Arial"/>
                <w:sz w:val="16"/>
                <w:szCs w:val="16"/>
              </w:rPr>
              <w:t>6.872,42</w:t>
            </w:r>
          </w:p>
        </w:tc>
      </w:tr>
      <w:tr w:rsidR="00FE0C5A" w14:paraId="0A289F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68FD91" w14:textId="77777777" w:rsidR="00FE0C5A" w:rsidRDefault="000C18DB" w:rsidP="00F113BD">
            <w:pPr>
              <w:spacing w:after="0"/>
              <w:rPr>
                <w:rFonts w:eastAsia="Times New Roman"/>
              </w:rPr>
            </w:pPr>
            <w:r>
              <w:rPr>
                <w:rFonts w:ascii="Arial" w:eastAsia="Times New Roman" w:hAnsi="Arial" w:cs="Arial"/>
                <w:sz w:val="16"/>
                <w:szCs w:val="16"/>
              </w:rPr>
              <w:t>Convênio Saneamento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487B5" w14:textId="77777777" w:rsidR="00FE0C5A" w:rsidRDefault="000C18DB" w:rsidP="00F113BD">
            <w:pPr>
              <w:spacing w:after="0"/>
              <w:jc w:val="right"/>
              <w:rPr>
                <w:rFonts w:eastAsia="Times New Roman"/>
              </w:rPr>
            </w:pPr>
            <w:r>
              <w:rPr>
                <w:rFonts w:ascii="Arial" w:eastAsia="Times New Roman" w:hAnsi="Arial" w:cs="Arial"/>
                <w:sz w:val="16"/>
                <w:szCs w:val="16"/>
              </w:rPr>
              <w:t>5.181,32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6F109"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9CEA6" w14:textId="77777777" w:rsidR="00FE0C5A" w:rsidRDefault="000C18DB" w:rsidP="00F113BD">
            <w:pPr>
              <w:spacing w:after="0"/>
              <w:jc w:val="right"/>
              <w:rPr>
                <w:rFonts w:eastAsia="Times New Roman"/>
              </w:rPr>
            </w:pPr>
            <w:r>
              <w:rPr>
                <w:rFonts w:ascii="Arial" w:eastAsia="Times New Roman" w:hAnsi="Arial" w:cs="Arial"/>
                <w:sz w:val="16"/>
                <w:szCs w:val="16"/>
              </w:rPr>
              <w:t>5.181,32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96AC2" w14:textId="77777777" w:rsidR="00FE0C5A" w:rsidRDefault="000C18DB" w:rsidP="00F113BD">
            <w:pPr>
              <w:spacing w:after="0"/>
              <w:jc w:val="right"/>
              <w:rPr>
                <w:rFonts w:eastAsia="Times New Roman"/>
              </w:rPr>
            </w:pPr>
            <w:r>
              <w:rPr>
                <w:rFonts w:ascii="Arial" w:eastAsia="Times New Roman" w:hAnsi="Arial" w:cs="Arial"/>
                <w:sz w:val="16"/>
                <w:szCs w:val="16"/>
              </w:rPr>
              <w:t>3.793,77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14DA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CA37D" w14:textId="77777777" w:rsidR="00FE0C5A" w:rsidRDefault="000C18DB" w:rsidP="00F113BD">
            <w:pPr>
              <w:spacing w:after="0"/>
              <w:jc w:val="right"/>
              <w:rPr>
                <w:rFonts w:eastAsia="Times New Roman"/>
              </w:rPr>
            </w:pPr>
            <w:r>
              <w:rPr>
                <w:rFonts w:ascii="Arial" w:eastAsia="Times New Roman" w:hAnsi="Arial" w:cs="Arial"/>
                <w:sz w:val="16"/>
                <w:szCs w:val="16"/>
              </w:rPr>
              <w:t>3.793,77</w:t>
            </w:r>
          </w:p>
        </w:tc>
      </w:tr>
      <w:tr w:rsidR="00FE0C5A" w14:paraId="392126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6E12C6" w14:textId="77777777" w:rsidR="00FE0C5A" w:rsidRDefault="000C18DB" w:rsidP="00F113BD">
            <w:pPr>
              <w:spacing w:after="0"/>
              <w:rPr>
                <w:rFonts w:eastAsia="Times New Roman"/>
              </w:rPr>
            </w:pPr>
            <w:r>
              <w:rPr>
                <w:rFonts w:ascii="Arial" w:eastAsia="Times New Roman" w:hAnsi="Arial" w:cs="Arial"/>
                <w:sz w:val="16"/>
                <w:szCs w:val="16"/>
              </w:rPr>
              <w:t>Telecomunicações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328F2" w14:textId="77777777" w:rsidR="00FE0C5A" w:rsidRDefault="000C18DB" w:rsidP="00F113BD">
            <w:pPr>
              <w:spacing w:after="0"/>
              <w:jc w:val="right"/>
              <w:rPr>
                <w:rFonts w:eastAsia="Times New Roman"/>
              </w:rPr>
            </w:pPr>
            <w:r>
              <w:rPr>
                <w:rFonts w:ascii="Arial" w:eastAsia="Times New Roman" w:hAnsi="Arial" w:cs="Arial"/>
                <w:sz w:val="16"/>
                <w:szCs w:val="16"/>
              </w:rPr>
              <w:t>1.113,68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69EC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65ACF" w14:textId="77777777" w:rsidR="00FE0C5A" w:rsidRDefault="000C18DB" w:rsidP="00F113BD">
            <w:pPr>
              <w:spacing w:after="0"/>
              <w:jc w:val="right"/>
              <w:rPr>
                <w:rFonts w:eastAsia="Times New Roman"/>
              </w:rPr>
            </w:pPr>
            <w:r>
              <w:rPr>
                <w:rFonts w:ascii="Arial" w:eastAsia="Times New Roman" w:hAnsi="Arial" w:cs="Arial"/>
                <w:sz w:val="16"/>
                <w:szCs w:val="16"/>
              </w:rPr>
              <w:t>1.113,68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6B6A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9FD61"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A74D7"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068CC2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D4F0F8" w14:textId="77777777" w:rsidR="00FE0C5A" w:rsidRDefault="000C18DB" w:rsidP="00F113BD">
            <w:pPr>
              <w:spacing w:after="0"/>
              <w:rPr>
                <w:rFonts w:eastAsia="Times New Roman"/>
              </w:rPr>
            </w:pPr>
            <w:r>
              <w:rPr>
                <w:rFonts w:ascii="Arial" w:eastAsia="Times New Roman" w:hAnsi="Arial" w:cs="Arial"/>
                <w:sz w:val="16"/>
                <w:szCs w:val="16"/>
              </w:rPr>
              <w:t>Ordens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D3030" w14:textId="77777777" w:rsidR="00FE0C5A" w:rsidRDefault="000C18DB" w:rsidP="00F113BD">
            <w:pPr>
              <w:spacing w:after="0"/>
              <w:jc w:val="right"/>
              <w:rPr>
                <w:rFonts w:eastAsia="Times New Roman"/>
              </w:rPr>
            </w:pPr>
            <w:r>
              <w:rPr>
                <w:rFonts w:ascii="Arial" w:eastAsia="Times New Roman" w:hAnsi="Arial" w:cs="Arial"/>
                <w:sz w:val="16"/>
                <w:szCs w:val="16"/>
              </w:rPr>
              <w:t>1.585.000,00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E6FF7"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A17FE" w14:textId="77777777" w:rsidR="00FE0C5A" w:rsidRDefault="000C18DB" w:rsidP="00F113BD">
            <w:pPr>
              <w:spacing w:after="0"/>
              <w:jc w:val="right"/>
              <w:rPr>
                <w:rFonts w:eastAsia="Times New Roman"/>
              </w:rPr>
            </w:pPr>
            <w:r>
              <w:rPr>
                <w:rFonts w:ascii="Arial" w:eastAsia="Times New Roman" w:hAnsi="Arial" w:cs="Arial"/>
                <w:sz w:val="16"/>
                <w:szCs w:val="16"/>
              </w:rPr>
              <w:t>1.585.000,00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74D22" w14:textId="77777777" w:rsidR="00FE0C5A" w:rsidRDefault="000C18DB" w:rsidP="00F113BD">
            <w:pPr>
              <w:spacing w:after="0"/>
              <w:jc w:val="right"/>
              <w:rPr>
                <w:rFonts w:eastAsia="Times New Roman"/>
              </w:rPr>
            </w:pPr>
            <w:r>
              <w:rPr>
                <w:rFonts w:ascii="Arial" w:eastAsia="Times New Roman" w:hAnsi="Arial" w:cs="Arial"/>
                <w:sz w:val="16"/>
                <w:szCs w:val="16"/>
              </w:rPr>
              <w:t>1.922.800,00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6CD5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17BF2" w14:textId="77777777" w:rsidR="00FE0C5A" w:rsidRDefault="000C18DB" w:rsidP="00F113BD">
            <w:pPr>
              <w:spacing w:after="0"/>
              <w:jc w:val="right"/>
              <w:rPr>
                <w:rFonts w:eastAsia="Times New Roman"/>
              </w:rPr>
            </w:pPr>
            <w:r>
              <w:rPr>
                <w:rFonts w:ascii="Arial" w:eastAsia="Times New Roman" w:hAnsi="Arial" w:cs="Arial"/>
                <w:sz w:val="16"/>
                <w:szCs w:val="16"/>
              </w:rPr>
              <w:t>1.922.800,00</w:t>
            </w:r>
          </w:p>
        </w:tc>
      </w:tr>
      <w:tr w:rsidR="00FE0C5A" w14:paraId="578CE4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1C6ADB" w14:textId="77777777" w:rsidR="00FE0C5A" w:rsidRDefault="000C18DB" w:rsidP="00F113BD">
            <w:pPr>
              <w:spacing w:after="0"/>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C33D8" w14:textId="77777777" w:rsidR="00FE0C5A" w:rsidRDefault="000C18DB" w:rsidP="00F113BD">
            <w:pPr>
              <w:spacing w:after="0"/>
              <w:jc w:val="right"/>
              <w:rPr>
                <w:rFonts w:eastAsia="Times New Roman"/>
              </w:rPr>
            </w:pPr>
            <w:r>
              <w:rPr>
                <w:rFonts w:ascii="Arial" w:eastAsia="Times New Roman" w:hAnsi="Arial" w:cs="Arial"/>
                <w:sz w:val="16"/>
                <w:szCs w:val="16"/>
              </w:rPr>
              <w:t>20,01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DA89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A128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6C008" w14:textId="77777777" w:rsidR="00FE0C5A" w:rsidRDefault="000C18DB" w:rsidP="00F113BD">
            <w:pPr>
              <w:spacing w:after="0"/>
              <w:jc w:val="right"/>
              <w:rPr>
                <w:rFonts w:eastAsia="Times New Roman"/>
              </w:rPr>
            </w:pPr>
            <w:r>
              <w:rPr>
                <w:rFonts w:ascii="Arial" w:eastAsia="Times New Roman" w:hAnsi="Arial" w:cs="Arial"/>
                <w:sz w:val="16"/>
                <w:szCs w:val="16"/>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1C2B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75E63" w14:textId="77777777" w:rsidR="00FE0C5A" w:rsidRDefault="000C18DB" w:rsidP="00F113BD">
            <w:pPr>
              <w:spacing w:after="0"/>
              <w:jc w:val="right"/>
              <w:rPr>
                <w:rFonts w:eastAsia="Times New Roman"/>
              </w:rPr>
            </w:pPr>
            <w:r>
              <w:rPr>
                <w:rFonts w:ascii="Arial" w:eastAsia="Times New Roman" w:hAnsi="Arial" w:cs="Arial"/>
                <w:sz w:val="16"/>
                <w:szCs w:val="16"/>
              </w:rPr>
              <w:t>20,00</w:t>
            </w:r>
          </w:p>
        </w:tc>
      </w:tr>
      <w:tr w:rsidR="00FE0C5A" w14:paraId="0AD668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26783C"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F740F" w14:textId="77777777" w:rsidR="00FE0C5A" w:rsidRDefault="000C18DB" w:rsidP="00F113BD">
            <w:pPr>
              <w:spacing w:after="0"/>
              <w:jc w:val="right"/>
              <w:rPr>
                <w:rFonts w:eastAsia="Times New Roman"/>
              </w:rPr>
            </w:pPr>
            <w:r>
              <w:rPr>
                <w:rFonts w:ascii="Arial" w:eastAsia="Times New Roman" w:hAnsi="Arial" w:cs="Arial"/>
                <w:b/>
                <w:bCs/>
                <w:sz w:val="16"/>
                <w:szCs w:val="16"/>
              </w:rPr>
              <w:t>1.620.994,58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42A41"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5F267" w14:textId="77777777" w:rsidR="00FE0C5A" w:rsidRDefault="000C18DB" w:rsidP="00F113BD">
            <w:pPr>
              <w:spacing w:after="0"/>
              <w:jc w:val="right"/>
              <w:rPr>
                <w:rFonts w:eastAsia="Times New Roman"/>
              </w:rPr>
            </w:pPr>
            <w:r>
              <w:rPr>
                <w:rFonts w:ascii="Arial" w:eastAsia="Times New Roman" w:hAnsi="Arial" w:cs="Arial"/>
                <w:b/>
                <w:bCs/>
                <w:sz w:val="16"/>
                <w:szCs w:val="16"/>
              </w:rPr>
              <w:t>1.620.994,58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13DBF" w14:textId="77777777" w:rsidR="00FE0C5A" w:rsidRDefault="000C18DB" w:rsidP="00F113BD">
            <w:pPr>
              <w:spacing w:after="0"/>
              <w:jc w:val="right"/>
              <w:rPr>
                <w:rFonts w:eastAsia="Times New Roman"/>
              </w:rPr>
            </w:pPr>
            <w:r>
              <w:rPr>
                <w:rFonts w:ascii="Arial" w:eastAsia="Times New Roman" w:hAnsi="Arial" w:cs="Arial"/>
                <w:b/>
                <w:bCs/>
                <w:sz w:val="16"/>
                <w:szCs w:val="16"/>
              </w:rPr>
              <w:t>1.933.486,19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AAA8A"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D6E89" w14:textId="77777777" w:rsidR="00FE0C5A" w:rsidRDefault="000C18DB" w:rsidP="00F113BD">
            <w:pPr>
              <w:spacing w:after="0"/>
              <w:jc w:val="right"/>
              <w:rPr>
                <w:rFonts w:eastAsia="Times New Roman"/>
              </w:rPr>
            </w:pPr>
            <w:r>
              <w:rPr>
                <w:rFonts w:ascii="Arial" w:eastAsia="Times New Roman" w:hAnsi="Arial" w:cs="Arial"/>
                <w:b/>
                <w:bCs/>
                <w:sz w:val="16"/>
                <w:szCs w:val="16"/>
              </w:rPr>
              <w:t>1.933.486,19</w:t>
            </w:r>
          </w:p>
        </w:tc>
      </w:tr>
    </w:tbl>
    <w:p w14:paraId="566E186A" w14:textId="77777777" w:rsidR="00FE0C5A" w:rsidRDefault="000C18DB">
      <w:pPr>
        <w:pStyle w:val="NormalWeb"/>
        <w:jc w:val="both"/>
      </w:pPr>
      <w:r>
        <w:rPr>
          <w:rFonts w:ascii="Arial" w:hAnsi="Arial" w:cs="Arial"/>
          <w:sz w:val="20"/>
          <w:szCs w:val="20"/>
        </w:rPr>
        <w:t>(b) Em Cobrança e Arrecadação de Tributos e Assemelhados estão registrados:</w:t>
      </w:r>
    </w:p>
    <w:tbl>
      <w:tblPr>
        <w:tblW w:w="5000" w:type="pct"/>
        <w:tblCellMar>
          <w:left w:w="0" w:type="dxa"/>
          <w:right w:w="0" w:type="dxa"/>
        </w:tblCellMar>
        <w:tblLook w:val="04A0" w:firstRow="1" w:lastRow="0" w:firstColumn="1" w:lastColumn="0" w:noHBand="0" w:noVBand="1"/>
      </w:tblPr>
      <w:tblGrid>
        <w:gridCol w:w="4493"/>
        <w:gridCol w:w="822"/>
        <w:gridCol w:w="1178"/>
        <w:gridCol w:w="748"/>
        <w:gridCol w:w="821"/>
        <w:gridCol w:w="1178"/>
        <w:gridCol w:w="748"/>
      </w:tblGrid>
      <w:tr w:rsidR="00FE0C5A" w14:paraId="00BCB84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6E0D"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A9D6DE"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A4DCEF"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7AEEDD1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2F76F5C"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781342"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7B36E"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B3E61"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4EAA6"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AD33A"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6015B"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73C137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A5B8AB" w14:textId="77777777" w:rsidR="00FE0C5A" w:rsidRDefault="000C18DB" w:rsidP="00F113BD">
            <w:pPr>
              <w:spacing w:after="0"/>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A39D5" w14:textId="77777777" w:rsidR="00FE0C5A" w:rsidRDefault="000C18DB" w:rsidP="00F113BD">
            <w:pPr>
              <w:spacing w:after="0"/>
              <w:jc w:val="right"/>
              <w:rPr>
                <w:rFonts w:eastAsia="Times New Roman"/>
              </w:rPr>
            </w:pPr>
            <w:r>
              <w:rPr>
                <w:rFonts w:ascii="Arial" w:eastAsia="Times New Roman" w:hAnsi="Arial" w:cs="Arial"/>
                <w:sz w:val="16"/>
                <w:szCs w:val="16"/>
              </w:rPr>
              <w:t>29.194,14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985A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A543A" w14:textId="77777777" w:rsidR="00FE0C5A" w:rsidRDefault="000C18DB" w:rsidP="00F113BD">
            <w:pPr>
              <w:spacing w:after="0"/>
              <w:jc w:val="right"/>
              <w:rPr>
                <w:rFonts w:eastAsia="Times New Roman"/>
              </w:rPr>
            </w:pPr>
            <w:r>
              <w:rPr>
                <w:rFonts w:ascii="Arial" w:eastAsia="Times New Roman" w:hAnsi="Arial" w:cs="Arial"/>
                <w:sz w:val="16"/>
                <w:szCs w:val="16"/>
              </w:rPr>
              <w:t>29.194,14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E241D" w14:textId="77777777" w:rsidR="00FE0C5A" w:rsidRDefault="000C18DB" w:rsidP="00F113BD">
            <w:pPr>
              <w:spacing w:after="0"/>
              <w:jc w:val="right"/>
              <w:rPr>
                <w:rFonts w:eastAsia="Times New Roman"/>
              </w:rPr>
            </w:pPr>
            <w:r>
              <w:rPr>
                <w:rFonts w:ascii="Arial" w:eastAsia="Times New Roman" w:hAnsi="Arial" w:cs="Arial"/>
                <w:sz w:val="16"/>
                <w:szCs w:val="16"/>
              </w:rPr>
              <w:t>77.629,98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C4DB7"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E55DF" w14:textId="77777777" w:rsidR="00FE0C5A" w:rsidRDefault="000C18DB" w:rsidP="00F113BD">
            <w:pPr>
              <w:spacing w:after="0"/>
              <w:jc w:val="right"/>
              <w:rPr>
                <w:rFonts w:eastAsia="Times New Roman"/>
              </w:rPr>
            </w:pPr>
            <w:r>
              <w:rPr>
                <w:rFonts w:ascii="Arial" w:eastAsia="Times New Roman" w:hAnsi="Arial" w:cs="Arial"/>
                <w:sz w:val="16"/>
                <w:szCs w:val="16"/>
              </w:rPr>
              <w:t>77.629,98</w:t>
            </w:r>
          </w:p>
        </w:tc>
      </w:tr>
      <w:tr w:rsidR="00FE0C5A" w14:paraId="3D98DA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7C4F58" w14:textId="77777777" w:rsidR="00FE0C5A" w:rsidRDefault="000C18DB" w:rsidP="00F113BD">
            <w:pPr>
              <w:spacing w:after="0"/>
              <w:rPr>
                <w:rFonts w:eastAsia="Times New Roman"/>
              </w:rPr>
            </w:pPr>
            <w:r>
              <w:rPr>
                <w:rFonts w:ascii="Arial" w:eastAsia="Times New Roman" w:hAnsi="Arial" w:cs="Arial"/>
                <w:sz w:val="16"/>
                <w:szCs w:val="16"/>
              </w:rPr>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CD562" w14:textId="77777777" w:rsidR="00FE0C5A" w:rsidRDefault="000C18DB" w:rsidP="00F113BD">
            <w:pPr>
              <w:spacing w:after="0"/>
              <w:jc w:val="right"/>
              <w:rPr>
                <w:rFonts w:eastAsia="Times New Roman"/>
              </w:rPr>
            </w:pPr>
            <w:r>
              <w:rPr>
                <w:rFonts w:ascii="Arial" w:eastAsia="Times New Roman" w:hAnsi="Arial" w:cs="Arial"/>
                <w:sz w:val="16"/>
                <w:szCs w:val="16"/>
              </w:rPr>
              <w:t>3.940,59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2F87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24AB0" w14:textId="77777777" w:rsidR="00FE0C5A" w:rsidRDefault="000C18DB" w:rsidP="00F113BD">
            <w:pPr>
              <w:spacing w:after="0"/>
              <w:jc w:val="right"/>
              <w:rPr>
                <w:rFonts w:eastAsia="Times New Roman"/>
              </w:rPr>
            </w:pPr>
            <w:r>
              <w:rPr>
                <w:rFonts w:ascii="Arial" w:eastAsia="Times New Roman" w:hAnsi="Arial" w:cs="Arial"/>
                <w:sz w:val="16"/>
                <w:szCs w:val="16"/>
              </w:rPr>
              <w:t>3.940,59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825F8" w14:textId="77777777" w:rsidR="00FE0C5A" w:rsidRDefault="000C18DB" w:rsidP="00F113BD">
            <w:pPr>
              <w:spacing w:after="0"/>
              <w:jc w:val="right"/>
              <w:rPr>
                <w:rFonts w:eastAsia="Times New Roman"/>
              </w:rPr>
            </w:pPr>
            <w:r>
              <w:rPr>
                <w:rFonts w:ascii="Arial" w:eastAsia="Times New Roman" w:hAnsi="Arial" w:cs="Arial"/>
                <w:sz w:val="16"/>
                <w:szCs w:val="16"/>
              </w:rPr>
              <w:t>12.781,23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56161"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58841" w14:textId="77777777" w:rsidR="00FE0C5A" w:rsidRDefault="000C18DB" w:rsidP="00F113BD">
            <w:pPr>
              <w:spacing w:after="0"/>
              <w:jc w:val="right"/>
              <w:rPr>
                <w:rFonts w:eastAsia="Times New Roman"/>
              </w:rPr>
            </w:pPr>
            <w:r>
              <w:rPr>
                <w:rFonts w:ascii="Arial" w:eastAsia="Times New Roman" w:hAnsi="Arial" w:cs="Arial"/>
                <w:sz w:val="16"/>
                <w:szCs w:val="16"/>
              </w:rPr>
              <w:t>12.781,23</w:t>
            </w:r>
          </w:p>
        </w:tc>
      </w:tr>
      <w:tr w:rsidR="00FE0C5A" w14:paraId="3AEFCE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F2775A" w14:textId="77777777" w:rsidR="00FE0C5A" w:rsidRDefault="000C18DB" w:rsidP="00F113BD">
            <w:pPr>
              <w:spacing w:after="0"/>
              <w:rPr>
                <w:rFonts w:eastAsia="Times New Roman"/>
              </w:rPr>
            </w:pPr>
            <w:r>
              <w:rPr>
                <w:rFonts w:ascii="Arial" w:eastAsia="Times New Roman" w:hAnsi="Arial" w:cs="Arial"/>
                <w:sz w:val="16"/>
                <w:szCs w:val="16"/>
              </w:rPr>
              <w:t xml:space="preserve">Outras Cobrança e Arrecadação de Tributos e </w:t>
            </w:r>
            <w:r>
              <w:rPr>
                <w:rFonts w:ascii="Arial" w:eastAsia="Times New Roman" w:hAnsi="Arial" w:cs="Arial"/>
                <w:sz w:val="16"/>
                <w:szCs w:val="16"/>
              </w:rPr>
              <w:t>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97284" w14:textId="77777777" w:rsidR="00FE0C5A" w:rsidRDefault="000C18DB" w:rsidP="00F113BD">
            <w:pPr>
              <w:spacing w:after="0"/>
              <w:jc w:val="right"/>
              <w:rPr>
                <w:rFonts w:eastAsia="Times New Roman"/>
              </w:rPr>
            </w:pPr>
            <w:r>
              <w:rPr>
                <w:rFonts w:ascii="Arial" w:eastAsia="Times New Roman" w:hAnsi="Arial" w:cs="Arial"/>
                <w:sz w:val="16"/>
                <w:szCs w:val="16"/>
              </w:rPr>
              <w:t>1.815,29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AFBF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1B7B4" w14:textId="77777777" w:rsidR="00FE0C5A" w:rsidRDefault="000C18DB" w:rsidP="00F113BD">
            <w:pPr>
              <w:spacing w:after="0"/>
              <w:jc w:val="right"/>
              <w:rPr>
                <w:rFonts w:eastAsia="Times New Roman"/>
              </w:rPr>
            </w:pPr>
            <w:r>
              <w:rPr>
                <w:rFonts w:ascii="Arial" w:eastAsia="Times New Roman" w:hAnsi="Arial" w:cs="Arial"/>
                <w:sz w:val="16"/>
                <w:szCs w:val="16"/>
              </w:rPr>
              <w:t>1.815,29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16755" w14:textId="77777777" w:rsidR="00FE0C5A" w:rsidRDefault="000C18DB" w:rsidP="00F113BD">
            <w:pPr>
              <w:spacing w:after="0"/>
              <w:jc w:val="right"/>
              <w:rPr>
                <w:rFonts w:eastAsia="Times New Roman"/>
              </w:rPr>
            </w:pPr>
            <w:r>
              <w:rPr>
                <w:rFonts w:ascii="Arial" w:eastAsia="Times New Roman" w:hAnsi="Arial" w:cs="Arial"/>
                <w:sz w:val="16"/>
                <w:szCs w:val="16"/>
              </w:rPr>
              <w:t>1.155,95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5F3C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61991" w14:textId="77777777" w:rsidR="00FE0C5A" w:rsidRDefault="000C18DB" w:rsidP="00F113BD">
            <w:pPr>
              <w:spacing w:after="0"/>
              <w:jc w:val="right"/>
              <w:rPr>
                <w:rFonts w:eastAsia="Times New Roman"/>
              </w:rPr>
            </w:pPr>
            <w:r>
              <w:rPr>
                <w:rFonts w:ascii="Arial" w:eastAsia="Times New Roman" w:hAnsi="Arial" w:cs="Arial"/>
                <w:sz w:val="16"/>
                <w:szCs w:val="16"/>
              </w:rPr>
              <w:t>1.155,95</w:t>
            </w:r>
          </w:p>
        </w:tc>
      </w:tr>
      <w:tr w:rsidR="00FE0C5A" w14:paraId="1FC268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D8BE8F"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32327" w14:textId="77777777" w:rsidR="00FE0C5A" w:rsidRDefault="000C18DB" w:rsidP="00F113BD">
            <w:pPr>
              <w:spacing w:after="0"/>
              <w:jc w:val="right"/>
              <w:rPr>
                <w:rFonts w:eastAsia="Times New Roman"/>
              </w:rPr>
            </w:pPr>
            <w:r>
              <w:rPr>
                <w:rFonts w:ascii="Arial" w:eastAsia="Times New Roman" w:hAnsi="Arial" w:cs="Arial"/>
                <w:b/>
                <w:bCs/>
                <w:sz w:val="16"/>
                <w:szCs w:val="16"/>
              </w:rPr>
              <w:t>34.950,02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879A3"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F66B0" w14:textId="77777777" w:rsidR="00FE0C5A" w:rsidRDefault="000C18DB" w:rsidP="00F113BD">
            <w:pPr>
              <w:spacing w:after="0"/>
              <w:jc w:val="right"/>
              <w:rPr>
                <w:rFonts w:eastAsia="Times New Roman"/>
              </w:rPr>
            </w:pPr>
            <w:r>
              <w:rPr>
                <w:rFonts w:ascii="Arial" w:eastAsia="Times New Roman" w:hAnsi="Arial" w:cs="Arial"/>
                <w:b/>
                <w:bCs/>
                <w:sz w:val="16"/>
                <w:szCs w:val="16"/>
              </w:rPr>
              <w:t>34.950,02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34D2B" w14:textId="77777777" w:rsidR="00FE0C5A" w:rsidRDefault="000C18DB" w:rsidP="00F113BD">
            <w:pPr>
              <w:spacing w:after="0"/>
              <w:jc w:val="right"/>
              <w:rPr>
                <w:rFonts w:eastAsia="Times New Roman"/>
              </w:rPr>
            </w:pPr>
            <w:r>
              <w:rPr>
                <w:rFonts w:ascii="Arial" w:eastAsia="Times New Roman" w:hAnsi="Arial" w:cs="Arial"/>
                <w:b/>
                <w:bCs/>
                <w:sz w:val="16"/>
                <w:szCs w:val="16"/>
              </w:rPr>
              <w:t>91.567,16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465A8"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C9B65" w14:textId="77777777" w:rsidR="00FE0C5A" w:rsidRDefault="000C18DB" w:rsidP="00F113BD">
            <w:pPr>
              <w:spacing w:after="0"/>
              <w:jc w:val="right"/>
              <w:rPr>
                <w:rFonts w:eastAsia="Times New Roman"/>
              </w:rPr>
            </w:pPr>
            <w:r>
              <w:rPr>
                <w:rFonts w:ascii="Arial" w:eastAsia="Times New Roman" w:hAnsi="Arial" w:cs="Arial"/>
                <w:b/>
                <w:bCs/>
                <w:sz w:val="16"/>
                <w:szCs w:val="16"/>
              </w:rPr>
              <w:t>91.567,16</w:t>
            </w:r>
          </w:p>
        </w:tc>
      </w:tr>
    </w:tbl>
    <w:p w14:paraId="75BD883C" w14:textId="54D6EC1C" w:rsidR="00FE0C5A" w:rsidRDefault="00060DA0">
      <w:pPr>
        <w:pStyle w:val="NormalWeb"/>
      </w:pPr>
      <w:r>
        <w:rPr>
          <w:rFonts w:ascii="Arial" w:hAnsi="Arial" w:cs="Arial"/>
          <w:b/>
          <w:bCs/>
          <w:sz w:val="20"/>
          <w:szCs w:val="20"/>
        </w:rPr>
        <w:t>16. Provisões</w:t>
      </w:r>
    </w:p>
    <w:p w14:paraId="032055BE" w14:textId="77777777" w:rsidR="00FE0C5A" w:rsidRDefault="000C18DB">
      <w:pPr>
        <w:pStyle w:val="NormalWeb"/>
        <w:jc w:val="both"/>
      </w:pPr>
      <w:r>
        <w:rPr>
          <w:rFonts w:ascii="Arial" w:hAnsi="Arial" w:cs="Arial"/>
          <w:sz w:val="20"/>
          <w:szCs w:val="20"/>
        </w:rPr>
        <w:t>Em 31 de dezembro de 2023 e 2022, os saldos de provisões estão assim compostos:</w:t>
      </w:r>
    </w:p>
    <w:tbl>
      <w:tblPr>
        <w:tblW w:w="5000" w:type="pct"/>
        <w:tblCellMar>
          <w:left w:w="0" w:type="dxa"/>
          <w:right w:w="0" w:type="dxa"/>
        </w:tblCellMar>
        <w:tblLook w:val="04A0" w:firstRow="1" w:lastRow="0" w:firstColumn="1" w:lastColumn="0" w:noHBand="0" w:noVBand="1"/>
      </w:tblPr>
      <w:tblGrid>
        <w:gridCol w:w="3840"/>
        <w:gridCol w:w="862"/>
        <w:gridCol w:w="1209"/>
        <w:gridCol w:w="1003"/>
        <w:gridCol w:w="862"/>
        <w:gridCol w:w="1209"/>
        <w:gridCol w:w="1003"/>
      </w:tblGrid>
      <w:tr w:rsidR="00FE0C5A" w14:paraId="6285C25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861BE4"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5E8A058"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5C2860"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37AC583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07C764B"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D2DF0F"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404B0"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Não </w:t>
            </w: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49D4C"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3306B"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56179"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92850"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6726D7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C1C119" w14:textId="09C7D5E2" w:rsidR="00FE0C5A" w:rsidRDefault="000C18DB" w:rsidP="00F113BD">
            <w:pPr>
              <w:spacing w:after="0"/>
              <w:rPr>
                <w:rFonts w:eastAsia="Times New Roman"/>
              </w:rPr>
            </w:pPr>
            <w:r>
              <w:rPr>
                <w:rFonts w:ascii="Arial" w:eastAsia="Times New Roman" w:hAnsi="Arial" w:cs="Arial"/>
                <w:sz w:val="16"/>
                <w:szCs w:val="16"/>
              </w:rPr>
              <w:t>Provisão Para Garantias Financeiras Prestadas</w:t>
            </w:r>
            <w:r w:rsidR="00060DA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9CAFA" w14:textId="77777777" w:rsidR="00FE0C5A" w:rsidRDefault="000C18DB" w:rsidP="00F113BD">
            <w:pPr>
              <w:spacing w:after="0"/>
              <w:jc w:val="right"/>
              <w:rPr>
                <w:rFonts w:eastAsia="Times New Roman"/>
              </w:rPr>
            </w:pPr>
            <w:r>
              <w:rPr>
                <w:rFonts w:ascii="Arial" w:eastAsia="Times New Roman" w:hAnsi="Arial" w:cs="Arial"/>
                <w:sz w:val="16"/>
                <w:szCs w:val="16"/>
              </w:rPr>
              <w:t>388.720,64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CAC10" w14:textId="77777777" w:rsidR="00FE0C5A" w:rsidRDefault="000C18DB" w:rsidP="00F113BD">
            <w:pPr>
              <w:spacing w:after="0"/>
              <w:jc w:val="right"/>
              <w:rPr>
                <w:rFonts w:eastAsia="Times New Roman"/>
              </w:rPr>
            </w:pPr>
            <w:r>
              <w:rPr>
                <w:rFonts w:ascii="Arial" w:eastAsia="Times New Roman" w:hAnsi="Arial" w:cs="Arial"/>
                <w:sz w:val="16"/>
                <w:szCs w:val="16"/>
              </w:rPr>
              <w:t>551.781,94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1DA73" w14:textId="77777777" w:rsidR="00FE0C5A" w:rsidRDefault="000C18DB" w:rsidP="00F113BD">
            <w:pPr>
              <w:spacing w:after="0"/>
              <w:jc w:val="right"/>
              <w:rPr>
                <w:rFonts w:eastAsia="Times New Roman"/>
              </w:rPr>
            </w:pPr>
            <w:r>
              <w:rPr>
                <w:rFonts w:ascii="Arial" w:eastAsia="Times New Roman" w:hAnsi="Arial" w:cs="Arial"/>
                <w:sz w:val="16"/>
                <w:szCs w:val="16"/>
              </w:rPr>
              <w:t>940.502,58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63255" w14:textId="77777777" w:rsidR="00FE0C5A" w:rsidRDefault="000C18DB" w:rsidP="00F113BD">
            <w:pPr>
              <w:spacing w:after="0"/>
              <w:jc w:val="right"/>
              <w:rPr>
                <w:rFonts w:eastAsia="Times New Roman"/>
              </w:rPr>
            </w:pPr>
            <w:r>
              <w:rPr>
                <w:rFonts w:ascii="Arial" w:eastAsia="Times New Roman" w:hAnsi="Arial" w:cs="Arial"/>
                <w:sz w:val="16"/>
                <w:szCs w:val="16"/>
              </w:rPr>
              <w:t>348.958,63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5EECD" w14:textId="77777777" w:rsidR="00FE0C5A" w:rsidRDefault="000C18DB" w:rsidP="00F113BD">
            <w:pPr>
              <w:spacing w:after="0"/>
              <w:jc w:val="right"/>
              <w:rPr>
                <w:rFonts w:eastAsia="Times New Roman"/>
              </w:rPr>
            </w:pPr>
            <w:r>
              <w:rPr>
                <w:rFonts w:ascii="Arial" w:eastAsia="Times New Roman" w:hAnsi="Arial" w:cs="Arial"/>
                <w:sz w:val="16"/>
                <w:szCs w:val="16"/>
              </w:rPr>
              <w:t>355.574,73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6F521" w14:textId="77777777" w:rsidR="00FE0C5A" w:rsidRDefault="000C18DB" w:rsidP="00F113BD">
            <w:pPr>
              <w:spacing w:after="0"/>
              <w:jc w:val="right"/>
              <w:rPr>
                <w:rFonts w:eastAsia="Times New Roman"/>
              </w:rPr>
            </w:pPr>
            <w:r>
              <w:rPr>
                <w:rFonts w:ascii="Arial" w:eastAsia="Times New Roman" w:hAnsi="Arial" w:cs="Arial"/>
                <w:sz w:val="16"/>
                <w:szCs w:val="16"/>
              </w:rPr>
              <w:t>704.533,36</w:t>
            </w:r>
          </w:p>
        </w:tc>
      </w:tr>
      <w:tr w:rsidR="00FE0C5A" w14:paraId="69506A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333FAD" w14:textId="4CC845DD" w:rsidR="00FE0C5A" w:rsidRDefault="000C18DB" w:rsidP="00F113BD">
            <w:pPr>
              <w:spacing w:after="0"/>
              <w:rPr>
                <w:rFonts w:eastAsia="Times New Roman"/>
              </w:rPr>
            </w:pPr>
            <w:r>
              <w:rPr>
                <w:rFonts w:ascii="Arial" w:eastAsia="Times New Roman" w:hAnsi="Arial" w:cs="Arial"/>
                <w:sz w:val="16"/>
                <w:szCs w:val="16"/>
              </w:rPr>
              <w:t xml:space="preserve">Provisão Para </w:t>
            </w:r>
            <w:r w:rsidR="00C55ACF">
              <w:rPr>
                <w:rFonts w:ascii="Arial" w:eastAsia="Times New Roman" w:hAnsi="Arial" w:cs="Arial"/>
                <w:sz w:val="16"/>
                <w:szCs w:val="16"/>
              </w:rPr>
              <w:t>Contingências (</w:t>
            </w:r>
            <w:r w:rsidR="00060DA0">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EB141"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2E98C" w14:textId="77777777" w:rsidR="00FE0C5A" w:rsidRDefault="000C18DB" w:rsidP="00F113BD">
            <w:pPr>
              <w:spacing w:after="0"/>
              <w:jc w:val="right"/>
              <w:rPr>
                <w:rFonts w:eastAsia="Times New Roman"/>
              </w:rPr>
            </w:pPr>
            <w:r>
              <w:rPr>
                <w:rFonts w:ascii="Arial" w:eastAsia="Times New Roman" w:hAnsi="Arial" w:cs="Arial"/>
                <w:sz w:val="16"/>
                <w:szCs w:val="16"/>
              </w:rPr>
              <w:t>2.426.491,43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67F05" w14:textId="77777777" w:rsidR="00FE0C5A" w:rsidRDefault="000C18DB" w:rsidP="00F113BD">
            <w:pPr>
              <w:spacing w:after="0"/>
              <w:jc w:val="right"/>
              <w:rPr>
                <w:rFonts w:eastAsia="Times New Roman"/>
              </w:rPr>
            </w:pPr>
            <w:r>
              <w:rPr>
                <w:rFonts w:ascii="Arial" w:eastAsia="Times New Roman" w:hAnsi="Arial" w:cs="Arial"/>
                <w:sz w:val="16"/>
                <w:szCs w:val="16"/>
              </w:rPr>
              <w:t>2.426.491,43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3B08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79FA7" w14:textId="77777777" w:rsidR="00FE0C5A" w:rsidRDefault="000C18DB" w:rsidP="00F113BD">
            <w:pPr>
              <w:spacing w:after="0"/>
              <w:jc w:val="right"/>
              <w:rPr>
                <w:rFonts w:eastAsia="Times New Roman"/>
              </w:rPr>
            </w:pPr>
            <w:r>
              <w:rPr>
                <w:rFonts w:ascii="Arial" w:eastAsia="Times New Roman" w:hAnsi="Arial" w:cs="Arial"/>
                <w:sz w:val="16"/>
                <w:szCs w:val="16"/>
              </w:rPr>
              <w:t>2.016.141,10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4B27E" w14:textId="77777777" w:rsidR="00FE0C5A" w:rsidRDefault="000C18DB" w:rsidP="00F113BD">
            <w:pPr>
              <w:spacing w:after="0"/>
              <w:jc w:val="right"/>
              <w:rPr>
                <w:rFonts w:eastAsia="Times New Roman"/>
              </w:rPr>
            </w:pPr>
            <w:r>
              <w:rPr>
                <w:rFonts w:ascii="Arial" w:eastAsia="Times New Roman" w:hAnsi="Arial" w:cs="Arial"/>
                <w:sz w:val="16"/>
                <w:szCs w:val="16"/>
              </w:rPr>
              <w:t>2.016.141,10</w:t>
            </w:r>
          </w:p>
        </w:tc>
      </w:tr>
      <w:tr w:rsidR="00FE0C5A" w14:paraId="73551A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00A214"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6A5B2" w14:textId="77777777" w:rsidR="00FE0C5A" w:rsidRDefault="000C18DB" w:rsidP="00F113BD">
            <w:pPr>
              <w:spacing w:after="0"/>
              <w:jc w:val="right"/>
              <w:rPr>
                <w:rFonts w:eastAsia="Times New Roman"/>
              </w:rPr>
            </w:pPr>
            <w:r>
              <w:rPr>
                <w:rFonts w:ascii="Arial" w:eastAsia="Times New Roman" w:hAnsi="Arial" w:cs="Arial"/>
                <w:b/>
                <w:bCs/>
                <w:sz w:val="16"/>
                <w:szCs w:val="16"/>
              </w:rPr>
              <w:t>388.720,64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F5BA2" w14:textId="77777777" w:rsidR="00FE0C5A" w:rsidRDefault="000C18DB" w:rsidP="00F113BD">
            <w:pPr>
              <w:spacing w:after="0"/>
              <w:jc w:val="right"/>
              <w:rPr>
                <w:rFonts w:eastAsia="Times New Roman"/>
              </w:rPr>
            </w:pPr>
            <w:r>
              <w:rPr>
                <w:rFonts w:ascii="Arial" w:eastAsia="Times New Roman" w:hAnsi="Arial" w:cs="Arial"/>
                <w:b/>
                <w:bCs/>
                <w:sz w:val="16"/>
                <w:szCs w:val="16"/>
              </w:rPr>
              <w:t>2.978.273,37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B11A5" w14:textId="77777777" w:rsidR="00FE0C5A" w:rsidRDefault="000C18DB" w:rsidP="00F113BD">
            <w:pPr>
              <w:spacing w:after="0"/>
              <w:jc w:val="right"/>
              <w:rPr>
                <w:rFonts w:eastAsia="Times New Roman"/>
              </w:rPr>
            </w:pPr>
            <w:r>
              <w:rPr>
                <w:rFonts w:ascii="Arial" w:eastAsia="Times New Roman" w:hAnsi="Arial" w:cs="Arial"/>
                <w:b/>
                <w:bCs/>
                <w:sz w:val="16"/>
                <w:szCs w:val="16"/>
              </w:rPr>
              <w:t>3.366.994,01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0BED6" w14:textId="77777777" w:rsidR="00FE0C5A" w:rsidRDefault="000C18DB" w:rsidP="00F113BD">
            <w:pPr>
              <w:spacing w:after="0"/>
              <w:jc w:val="right"/>
              <w:rPr>
                <w:rFonts w:eastAsia="Times New Roman"/>
              </w:rPr>
            </w:pPr>
            <w:r>
              <w:rPr>
                <w:rFonts w:ascii="Arial" w:eastAsia="Times New Roman" w:hAnsi="Arial" w:cs="Arial"/>
                <w:b/>
                <w:bCs/>
                <w:sz w:val="16"/>
                <w:szCs w:val="16"/>
              </w:rPr>
              <w:t>348.958,63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5CDB2" w14:textId="77777777" w:rsidR="00FE0C5A" w:rsidRDefault="000C18DB" w:rsidP="00F113BD">
            <w:pPr>
              <w:spacing w:after="0"/>
              <w:jc w:val="right"/>
              <w:rPr>
                <w:rFonts w:eastAsia="Times New Roman"/>
              </w:rPr>
            </w:pPr>
            <w:r>
              <w:rPr>
                <w:rFonts w:ascii="Arial" w:eastAsia="Times New Roman" w:hAnsi="Arial" w:cs="Arial"/>
                <w:b/>
                <w:bCs/>
                <w:sz w:val="16"/>
                <w:szCs w:val="16"/>
              </w:rPr>
              <w:t>2.371.715,83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0D0C0" w14:textId="77777777" w:rsidR="00FE0C5A" w:rsidRDefault="000C18DB" w:rsidP="00F113BD">
            <w:pPr>
              <w:spacing w:after="0"/>
              <w:jc w:val="right"/>
              <w:rPr>
                <w:rFonts w:eastAsia="Times New Roman"/>
              </w:rPr>
            </w:pPr>
            <w:r>
              <w:rPr>
                <w:rFonts w:ascii="Arial" w:eastAsia="Times New Roman" w:hAnsi="Arial" w:cs="Arial"/>
                <w:b/>
                <w:bCs/>
                <w:sz w:val="16"/>
                <w:szCs w:val="16"/>
              </w:rPr>
              <w:t>2.720.674,46</w:t>
            </w:r>
          </w:p>
        </w:tc>
      </w:tr>
    </w:tbl>
    <w:p w14:paraId="781E82AA" w14:textId="77777777" w:rsidR="00FE0C5A" w:rsidRDefault="000C18DB">
      <w:pPr>
        <w:pStyle w:val="NormalWeb"/>
        <w:jc w:val="both"/>
      </w:pPr>
      <w:r>
        <w:rPr>
          <w:rFonts w:ascii="Arial" w:hAnsi="Arial" w:cs="Arial"/>
          <w:sz w:val="20"/>
          <w:szCs w:val="20"/>
        </w:rPr>
        <w:t xml:space="preserve">(a) Refere-se à provisão para garantias financeiras prestadas, apurada sobre o total das coobrigações concedidas pela Cooperativa, conforme a Resolução CMN nº </w:t>
      </w:r>
      <w:r>
        <w:rPr>
          <w:rFonts w:ascii="Arial" w:hAnsi="Arial" w:cs="Arial"/>
          <w:sz w:val="20"/>
          <w:szCs w:val="20"/>
        </w:rPr>
        <w:t>4.512/2016. A provisão para garantias financeiras prestadas é apurada com base na avaliação de risco dos Associados beneficiários, de acordo com a Resolução CMN nº 2.682/1999. Em 31 de dezembro de 2023 e 2022,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592"/>
        <w:gridCol w:w="2698"/>
        <w:gridCol w:w="2698"/>
      </w:tblGrid>
      <w:tr w:rsidR="00FE0C5A" w14:paraId="33C949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87B7A2"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C8FB5"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1BBAA"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221F22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0F849E" w14:textId="77777777" w:rsidR="00FE0C5A" w:rsidRDefault="000C18DB" w:rsidP="00F113BD">
            <w:pPr>
              <w:spacing w:after="0"/>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F7E77" w14:textId="77777777" w:rsidR="00FE0C5A" w:rsidRDefault="000C18DB" w:rsidP="00F113BD">
            <w:pPr>
              <w:spacing w:after="0"/>
              <w:jc w:val="right"/>
              <w:rPr>
                <w:rFonts w:eastAsia="Times New Roman"/>
              </w:rPr>
            </w:pPr>
            <w:r>
              <w:rPr>
                <w:rFonts w:ascii="Arial" w:eastAsia="Times New Roman" w:hAnsi="Arial" w:cs="Arial"/>
                <w:sz w:val="16"/>
                <w:szCs w:val="16"/>
              </w:rPr>
              <w:t>29.325.055,15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33F46" w14:textId="77777777" w:rsidR="00FE0C5A" w:rsidRDefault="000C18DB" w:rsidP="00F113BD">
            <w:pPr>
              <w:spacing w:after="0"/>
              <w:jc w:val="right"/>
              <w:rPr>
                <w:rFonts w:eastAsia="Times New Roman"/>
              </w:rPr>
            </w:pPr>
            <w:r>
              <w:rPr>
                <w:rFonts w:ascii="Arial" w:eastAsia="Times New Roman" w:hAnsi="Arial" w:cs="Arial"/>
                <w:sz w:val="16"/>
                <w:szCs w:val="16"/>
              </w:rPr>
              <w:t>17.371.308,55</w:t>
            </w:r>
          </w:p>
        </w:tc>
      </w:tr>
      <w:tr w:rsidR="00FE0C5A" w14:paraId="1274E7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6AC483"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1A35D" w14:textId="77777777" w:rsidR="00FE0C5A" w:rsidRDefault="000C18DB" w:rsidP="00F113BD">
            <w:pPr>
              <w:spacing w:after="0"/>
              <w:jc w:val="right"/>
              <w:rPr>
                <w:rFonts w:eastAsia="Times New Roman"/>
              </w:rPr>
            </w:pPr>
            <w:r>
              <w:rPr>
                <w:rFonts w:ascii="Arial" w:eastAsia="Times New Roman" w:hAnsi="Arial" w:cs="Arial"/>
                <w:b/>
                <w:bCs/>
                <w:sz w:val="16"/>
                <w:szCs w:val="16"/>
              </w:rPr>
              <w:t>29.325.055,15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51573" w14:textId="77777777" w:rsidR="00FE0C5A" w:rsidRDefault="000C18DB" w:rsidP="00F113BD">
            <w:pPr>
              <w:spacing w:after="0"/>
              <w:jc w:val="right"/>
              <w:rPr>
                <w:rFonts w:eastAsia="Times New Roman"/>
              </w:rPr>
            </w:pPr>
            <w:r>
              <w:rPr>
                <w:rFonts w:ascii="Arial" w:eastAsia="Times New Roman" w:hAnsi="Arial" w:cs="Arial"/>
                <w:b/>
                <w:bCs/>
                <w:sz w:val="16"/>
                <w:szCs w:val="16"/>
              </w:rPr>
              <w:t>17.371.308,55</w:t>
            </w:r>
          </w:p>
        </w:tc>
      </w:tr>
    </w:tbl>
    <w:p w14:paraId="56E25718" w14:textId="77777777" w:rsidR="00FE0C5A" w:rsidRDefault="000C18DB">
      <w:pPr>
        <w:pStyle w:val="NormalWeb"/>
      </w:pPr>
      <w:r>
        <w:rPr>
          <w:rFonts w:ascii="Arial" w:hAnsi="Arial" w:cs="Arial"/>
          <w:sz w:val="20"/>
          <w:szCs w:val="20"/>
        </w:rPr>
        <w:t>(b) Provisão para Contingências - Demandas Judiciais</w:t>
      </w:r>
    </w:p>
    <w:p w14:paraId="443411E7" w14:textId="77777777" w:rsidR="00FE0C5A" w:rsidRDefault="000C18DB">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1C9FB11F" w14:textId="77777777" w:rsidR="00FE0C5A" w:rsidRDefault="000C18DB">
      <w:pPr>
        <w:pStyle w:val="NormalWeb"/>
        <w:jc w:val="both"/>
      </w:pPr>
      <w:r>
        <w:rPr>
          <w:rFonts w:ascii="Arial" w:hAnsi="Arial" w:cs="Arial"/>
          <w:sz w:val="20"/>
          <w:szCs w:val="20"/>
        </w:rPr>
        <w:t>Na data das demonstrações financeiras, a Cooperativa apresentava os seguintes passivos e depósitos judiciais relacionados às contingências:</w:t>
      </w:r>
    </w:p>
    <w:tbl>
      <w:tblPr>
        <w:tblW w:w="5000" w:type="pct"/>
        <w:tblCellMar>
          <w:left w:w="0" w:type="dxa"/>
          <w:right w:w="0" w:type="dxa"/>
        </w:tblCellMar>
        <w:tblLook w:val="04A0" w:firstRow="1" w:lastRow="0" w:firstColumn="1" w:lastColumn="0" w:noHBand="0" w:noVBand="1"/>
      </w:tblPr>
      <w:tblGrid>
        <w:gridCol w:w="1718"/>
        <w:gridCol w:w="2456"/>
        <w:gridCol w:w="1679"/>
        <w:gridCol w:w="2456"/>
        <w:gridCol w:w="1679"/>
      </w:tblGrid>
      <w:tr w:rsidR="00FE0C5A" w14:paraId="28DEAF0B"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5AC2D0"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F06327"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18B4D9"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22501F0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1EDF40B"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B80292" w14:textId="77777777" w:rsidR="00FE0C5A" w:rsidRDefault="000C18DB" w:rsidP="00F113BD">
            <w:pPr>
              <w:spacing w:after="0"/>
              <w:jc w:val="center"/>
              <w:rPr>
                <w:rFonts w:eastAsia="Times New Roman"/>
              </w:rPr>
            </w:pPr>
            <w:r>
              <w:rPr>
                <w:rFonts w:ascii="Arial" w:eastAsia="Times New Roman" w:hAnsi="Arial" w:cs="Arial"/>
                <w:b/>
                <w:bCs/>
                <w:sz w:val="16"/>
                <w:szCs w:val="16"/>
              </w:rPr>
              <w:t>Provisão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753D6" w14:textId="77777777" w:rsidR="00FE0C5A" w:rsidRDefault="000C18DB" w:rsidP="00F113BD">
            <w:pPr>
              <w:spacing w:after="0"/>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81D73"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Provisão para </w:t>
            </w:r>
            <w:r>
              <w:rPr>
                <w:rFonts w:ascii="Arial" w:eastAsia="Times New Roman" w:hAnsi="Arial" w:cs="Arial"/>
                <w:b/>
                <w:bCs/>
                <w:sz w:val="16"/>
                <w:szCs w:val="16"/>
              </w:rPr>
              <w:t>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E7D0D" w14:textId="77777777" w:rsidR="00FE0C5A" w:rsidRDefault="000C18DB" w:rsidP="00F113BD">
            <w:pPr>
              <w:spacing w:after="0"/>
              <w:jc w:val="center"/>
              <w:rPr>
                <w:rFonts w:eastAsia="Times New Roman"/>
              </w:rPr>
            </w:pPr>
            <w:r>
              <w:rPr>
                <w:rFonts w:ascii="Arial" w:eastAsia="Times New Roman" w:hAnsi="Arial" w:cs="Arial"/>
                <w:b/>
                <w:bCs/>
                <w:sz w:val="16"/>
                <w:szCs w:val="16"/>
              </w:rPr>
              <w:t>Depósitos Judiciais</w:t>
            </w:r>
          </w:p>
        </w:tc>
      </w:tr>
      <w:tr w:rsidR="00FE0C5A" w14:paraId="0D9754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C26DE9" w14:textId="77777777" w:rsidR="00FE0C5A" w:rsidRDefault="000C18DB" w:rsidP="00F113BD">
            <w:pPr>
              <w:spacing w:after="0"/>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F69D9"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C7A62" w14:textId="77777777" w:rsidR="00FE0C5A" w:rsidRDefault="000C18DB" w:rsidP="00F113BD">
            <w:pPr>
              <w:spacing w:after="0"/>
              <w:jc w:val="right"/>
              <w:rPr>
                <w:rFonts w:eastAsia="Times New Roman"/>
              </w:rPr>
            </w:pPr>
            <w:r>
              <w:rPr>
                <w:rFonts w:ascii="Arial" w:eastAsia="Times New Roman" w:hAnsi="Arial" w:cs="Arial"/>
                <w:sz w:val="16"/>
                <w:szCs w:val="16"/>
              </w:rPr>
              <w:t>349.366,73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FBF3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6A07A" w14:textId="77777777" w:rsidR="00FE0C5A" w:rsidRDefault="000C18DB" w:rsidP="00F113BD">
            <w:pPr>
              <w:spacing w:after="0"/>
              <w:jc w:val="right"/>
              <w:rPr>
                <w:rFonts w:eastAsia="Times New Roman"/>
              </w:rPr>
            </w:pPr>
            <w:r>
              <w:rPr>
                <w:rFonts w:ascii="Arial" w:eastAsia="Times New Roman" w:hAnsi="Arial" w:cs="Arial"/>
                <w:sz w:val="16"/>
                <w:szCs w:val="16"/>
              </w:rPr>
              <w:t>309.066,24</w:t>
            </w:r>
          </w:p>
        </w:tc>
      </w:tr>
      <w:tr w:rsidR="00FE0C5A" w14:paraId="470FA2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9DB05E" w14:textId="77777777" w:rsidR="00FE0C5A" w:rsidRDefault="000C18DB" w:rsidP="00F113BD">
            <w:pPr>
              <w:spacing w:after="0"/>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3C2D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690E3" w14:textId="77777777" w:rsidR="00FE0C5A" w:rsidRDefault="000C18DB" w:rsidP="00F113BD">
            <w:pPr>
              <w:spacing w:after="0"/>
              <w:jc w:val="right"/>
              <w:rPr>
                <w:rFonts w:eastAsia="Times New Roman"/>
              </w:rPr>
            </w:pPr>
            <w:r>
              <w:rPr>
                <w:rFonts w:ascii="Arial" w:eastAsia="Times New Roman" w:hAnsi="Arial" w:cs="Arial"/>
                <w:sz w:val="16"/>
                <w:szCs w:val="16"/>
              </w:rPr>
              <w:t>586.975,44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1578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8A0DA" w14:textId="77777777" w:rsidR="00FE0C5A" w:rsidRDefault="000C18DB" w:rsidP="00F113BD">
            <w:pPr>
              <w:spacing w:after="0"/>
              <w:jc w:val="right"/>
              <w:rPr>
                <w:rFonts w:eastAsia="Times New Roman"/>
              </w:rPr>
            </w:pPr>
            <w:r>
              <w:rPr>
                <w:rFonts w:ascii="Arial" w:eastAsia="Times New Roman" w:hAnsi="Arial" w:cs="Arial"/>
                <w:sz w:val="16"/>
                <w:szCs w:val="16"/>
              </w:rPr>
              <w:t>479.584,05</w:t>
            </w:r>
          </w:p>
        </w:tc>
      </w:tr>
      <w:tr w:rsidR="00FE0C5A" w14:paraId="390B1B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E7BFB1" w14:textId="77777777" w:rsidR="00FE0C5A" w:rsidRDefault="000C18DB" w:rsidP="00F113BD">
            <w:pPr>
              <w:spacing w:after="0"/>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1C71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066E6" w14:textId="77777777" w:rsidR="00FE0C5A" w:rsidRDefault="000C18DB" w:rsidP="00F113BD">
            <w:pPr>
              <w:spacing w:after="0"/>
              <w:jc w:val="right"/>
              <w:rPr>
                <w:rFonts w:eastAsia="Times New Roman"/>
              </w:rPr>
            </w:pPr>
            <w:r>
              <w:rPr>
                <w:rFonts w:ascii="Arial" w:eastAsia="Times New Roman" w:hAnsi="Arial" w:cs="Arial"/>
                <w:sz w:val="16"/>
                <w:szCs w:val="16"/>
              </w:rPr>
              <w:t>1.380.779,16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8446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5A5EB" w14:textId="77777777" w:rsidR="00FE0C5A" w:rsidRDefault="000C18DB" w:rsidP="00F113BD">
            <w:pPr>
              <w:spacing w:after="0"/>
              <w:jc w:val="right"/>
              <w:rPr>
                <w:rFonts w:eastAsia="Times New Roman"/>
              </w:rPr>
            </w:pPr>
            <w:r>
              <w:rPr>
                <w:rFonts w:ascii="Arial" w:eastAsia="Times New Roman" w:hAnsi="Arial" w:cs="Arial"/>
                <w:sz w:val="16"/>
                <w:szCs w:val="16"/>
              </w:rPr>
              <w:t>1.221.502,18</w:t>
            </w:r>
          </w:p>
        </w:tc>
      </w:tr>
      <w:tr w:rsidR="00FE0C5A" w14:paraId="627223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2C3793" w14:textId="77777777" w:rsidR="00FE0C5A" w:rsidRDefault="000C18DB" w:rsidP="00F113BD">
            <w:pPr>
              <w:spacing w:after="0"/>
              <w:rPr>
                <w:rFonts w:eastAsia="Times New Roman"/>
              </w:rPr>
            </w:pPr>
            <w:r>
              <w:rPr>
                <w:rFonts w:ascii="Arial" w:eastAsia="Times New Roman"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CF652" w14:textId="77777777" w:rsidR="00FE0C5A" w:rsidRDefault="000C18DB" w:rsidP="00F113BD">
            <w:pPr>
              <w:spacing w:after="0"/>
              <w:jc w:val="right"/>
              <w:rPr>
                <w:rFonts w:eastAsia="Times New Roman"/>
              </w:rPr>
            </w:pPr>
            <w:r>
              <w:rPr>
                <w:rFonts w:ascii="Arial" w:eastAsia="Times New Roman" w:hAnsi="Arial" w:cs="Arial"/>
                <w:sz w:val="16"/>
                <w:szCs w:val="16"/>
              </w:rPr>
              <w:t>2.426.491,43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25B4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41160" w14:textId="77777777" w:rsidR="00FE0C5A" w:rsidRDefault="000C18DB" w:rsidP="00F113BD">
            <w:pPr>
              <w:spacing w:after="0"/>
              <w:jc w:val="right"/>
              <w:rPr>
                <w:rFonts w:eastAsia="Times New Roman"/>
              </w:rPr>
            </w:pPr>
            <w:r>
              <w:rPr>
                <w:rFonts w:ascii="Arial" w:eastAsia="Times New Roman" w:hAnsi="Arial" w:cs="Arial"/>
                <w:sz w:val="16"/>
                <w:szCs w:val="16"/>
              </w:rPr>
              <w:t>2.016.141,10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B6943"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014144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D92D36" w14:textId="77777777" w:rsidR="00FE0C5A" w:rsidRDefault="000C18DB" w:rsidP="00C55ACF">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862F5" w14:textId="77777777" w:rsidR="00FE0C5A" w:rsidRDefault="000C18DB" w:rsidP="00F113BD">
            <w:pPr>
              <w:spacing w:after="0"/>
              <w:jc w:val="right"/>
              <w:rPr>
                <w:rFonts w:eastAsia="Times New Roman"/>
              </w:rPr>
            </w:pPr>
            <w:r>
              <w:rPr>
                <w:rFonts w:ascii="Arial" w:eastAsia="Times New Roman" w:hAnsi="Arial" w:cs="Arial"/>
                <w:b/>
                <w:bCs/>
                <w:sz w:val="16"/>
                <w:szCs w:val="16"/>
              </w:rPr>
              <w:t>2.426.491,43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931E3" w14:textId="77777777" w:rsidR="00FE0C5A" w:rsidRDefault="000C18DB" w:rsidP="00F113BD">
            <w:pPr>
              <w:spacing w:after="0"/>
              <w:jc w:val="right"/>
              <w:rPr>
                <w:rFonts w:eastAsia="Times New Roman"/>
              </w:rPr>
            </w:pPr>
            <w:r>
              <w:rPr>
                <w:rFonts w:ascii="Arial" w:eastAsia="Times New Roman" w:hAnsi="Arial" w:cs="Arial"/>
                <w:b/>
                <w:bCs/>
                <w:sz w:val="16"/>
                <w:szCs w:val="16"/>
              </w:rPr>
              <w:t>2.317.121,33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BA5FC" w14:textId="77777777" w:rsidR="00FE0C5A" w:rsidRDefault="000C18DB" w:rsidP="00F113BD">
            <w:pPr>
              <w:spacing w:after="0"/>
              <w:jc w:val="right"/>
              <w:rPr>
                <w:rFonts w:eastAsia="Times New Roman"/>
              </w:rPr>
            </w:pPr>
            <w:r>
              <w:rPr>
                <w:rFonts w:ascii="Arial" w:eastAsia="Times New Roman" w:hAnsi="Arial" w:cs="Arial"/>
                <w:b/>
                <w:bCs/>
                <w:sz w:val="16"/>
                <w:szCs w:val="16"/>
              </w:rPr>
              <w:t>2.016.141,10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B8A31" w14:textId="77777777" w:rsidR="00FE0C5A" w:rsidRDefault="000C18DB" w:rsidP="00F113BD">
            <w:pPr>
              <w:spacing w:after="0"/>
              <w:jc w:val="right"/>
              <w:rPr>
                <w:rFonts w:eastAsia="Times New Roman"/>
              </w:rPr>
            </w:pPr>
            <w:r>
              <w:rPr>
                <w:rFonts w:ascii="Arial" w:eastAsia="Times New Roman" w:hAnsi="Arial" w:cs="Arial"/>
                <w:b/>
                <w:bCs/>
                <w:sz w:val="16"/>
                <w:szCs w:val="16"/>
              </w:rPr>
              <w:t>2.010.152,47</w:t>
            </w:r>
          </w:p>
        </w:tc>
      </w:tr>
    </w:tbl>
    <w:p w14:paraId="4C0BD02E" w14:textId="4D09616D" w:rsidR="00FE0C5A" w:rsidRDefault="000C18DB">
      <w:pPr>
        <w:pStyle w:val="NormalWeb"/>
      </w:pPr>
      <w:r>
        <w:rPr>
          <w:rFonts w:ascii="Arial" w:hAnsi="Arial" w:cs="Arial"/>
          <w:sz w:val="20"/>
          <w:szCs w:val="20"/>
        </w:rPr>
        <w:t>b.1) Movimentação das Provisões para Contingências</w:t>
      </w:r>
      <w:r w:rsidR="00C55ACF">
        <w:rPr>
          <w:rFonts w:ascii="Arial" w:hAnsi="Arial" w:cs="Arial"/>
          <w:sz w:val="20"/>
          <w:szCs w:val="20"/>
        </w:rPr>
        <w:t>:</w:t>
      </w:r>
    </w:p>
    <w:tbl>
      <w:tblPr>
        <w:tblW w:w="5000" w:type="pct"/>
        <w:tblCellMar>
          <w:left w:w="70" w:type="dxa"/>
          <w:right w:w="70" w:type="dxa"/>
        </w:tblCellMar>
        <w:tblLook w:val="04A0" w:firstRow="1" w:lastRow="0" w:firstColumn="1" w:lastColumn="0" w:noHBand="0" w:noVBand="1"/>
      </w:tblPr>
      <w:tblGrid>
        <w:gridCol w:w="5048"/>
        <w:gridCol w:w="1814"/>
        <w:gridCol w:w="1814"/>
        <w:gridCol w:w="1436"/>
      </w:tblGrid>
      <w:tr w:rsidR="00DD1F19" w:rsidRPr="00253515" w14:paraId="29C97C6D" w14:textId="77777777" w:rsidTr="00DD1F19">
        <w:trPr>
          <w:trHeight w:val="229"/>
        </w:trPr>
        <w:tc>
          <w:tcPr>
            <w:tcW w:w="24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57BD2" w14:textId="77777777" w:rsidR="00DD1F19" w:rsidRPr="00253515" w:rsidRDefault="00DD1F19" w:rsidP="00253515">
            <w:pPr>
              <w:spacing w:after="0" w:line="240" w:lineRule="auto"/>
              <w:jc w:val="center"/>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Descrição</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7D3C00E6" w14:textId="77777777" w:rsidR="00DD1F19" w:rsidRPr="00253515" w:rsidRDefault="00DD1F19" w:rsidP="00253515">
            <w:pPr>
              <w:spacing w:after="0" w:line="240" w:lineRule="auto"/>
              <w:jc w:val="center"/>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Cível</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01FB810D" w14:textId="77777777" w:rsidR="00DD1F19" w:rsidRPr="00253515" w:rsidRDefault="00DD1F19" w:rsidP="00253515">
            <w:pPr>
              <w:spacing w:after="0" w:line="240" w:lineRule="auto"/>
              <w:jc w:val="center"/>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Tributário</w:t>
            </w:r>
          </w:p>
        </w:tc>
        <w:tc>
          <w:tcPr>
            <w:tcW w:w="710" w:type="pct"/>
            <w:tcBorders>
              <w:top w:val="single" w:sz="4" w:space="0" w:color="auto"/>
              <w:left w:val="nil"/>
              <w:bottom w:val="single" w:sz="4" w:space="0" w:color="auto"/>
              <w:right w:val="single" w:sz="4" w:space="0" w:color="auto"/>
            </w:tcBorders>
            <w:shd w:val="clear" w:color="auto" w:fill="auto"/>
            <w:vAlign w:val="center"/>
            <w:hideMark/>
          </w:tcPr>
          <w:p w14:paraId="198BF883" w14:textId="77777777" w:rsidR="00DD1F19" w:rsidRPr="00253515" w:rsidRDefault="00DD1F19" w:rsidP="00253515">
            <w:pPr>
              <w:spacing w:after="0" w:line="240" w:lineRule="auto"/>
              <w:jc w:val="center"/>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Total</w:t>
            </w:r>
          </w:p>
        </w:tc>
      </w:tr>
      <w:tr w:rsidR="00DD1F19" w:rsidRPr="00253515" w14:paraId="2E8F5E92" w14:textId="77777777" w:rsidTr="00DD1F19">
        <w:trPr>
          <w:trHeight w:val="229"/>
        </w:trPr>
        <w:tc>
          <w:tcPr>
            <w:tcW w:w="2496" w:type="pct"/>
            <w:tcBorders>
              <w:top w:val="nil"/>
              <w:left w:val="single" w:sz="4" w:space="0" w:color="auto"/>
              <w:bottom w:val="single" w:sz="4" w:space="0" w:color="auto"/>
              <w:right w:val="single" w:sz="4" w:space="0" w:color="auto"/>
            </w:tcBorders>
            <w:shd w:val="clear" w:color="auto" w:fill="auto"/>
            <w:vAlign w:val="center"/>
            <w:hideMark/>
          </w:tcPr>
          <w:p w14:paraId="31B73C56" w14:textId="77777777" w:rsidR="00DD1F19" w:rsidRPr="00253515" w:rsidRDefault="00DD1F19" w:rsidP="00253515">
            <w:pPr>
              <w:spacing w:after="0" w:line="240" w:lineRule="auto"/>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Saldo em 31 de dezembro de 2021</w:t>
            </w:r>
          </w:p>
        </w:tc>
        <w:tc>
          <w:tcPr>
            <w:tcW w:w="897" w:type="pct"/>
            <w:tcBorders>
              <w:top w:val="nil"/>
              <w:left w:val="nil"/>
              <w:bottom w:val="single" w:sz="4" w:space="0" w:color="auto"/>
              <w:right w:val="single" w:sz="4" w:space="0" w:color="auto"/>
            </w:tcBorders>
            <w:shd w:val="clear" w:color="auto" w:fill="auto"/>
            <w:vAlign w:val="center"/>
            <w:hideMark/>
          </w:tcPr>
          <w:p w14:paraId="5D9287CE"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xml:space="preserve">7.647,15 </w:t>
            </w:r>
          </w:p>
        </w:tc>
        <w:tc>
          <w:tcPr>
            <w:tcW w:w="897" w:type="pct"/>
            <w:tcBorders>
              <w:top w:val="nil"/>
              <w:left w:val="nil"/>
              <w:bottom w:val="single" w:sz="4" w:space="0" w:color="auto"/>
              <w:right w:val="single" w:sz="4" w:space="0" w:color="auto"/>
            </w:tcBorders>
            <w:shd w:val="clear" w:color="auto" w:fill="auto"/>
            <w:vAlign w:val="center"/>
            <w:hideMark/>
          </w:tcPr>
          <w:p w14:paraId="5970DE80"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xml:space="preserve">1.885.479,63 </w:t>
            </w:r>
          </w:p>
        </w:tc>
        <w:tc>
          <w:tcPr>
            <w:tcW w:w="710" w:type="pct"/>
            <w:tcBorders>
              <w:top w:val="nil"/>
              <w:left w:val="nil"/>
              <w:bottom w:val="single" w:sz="4" w:space="0" w:color="auto"/>
              <w:right w:val="single" w:sz="4" w:space="0" w:color="auto"/>
            </w:tcBorders>
            <w:shd w:val="clear" w:color="auto" w:fill="auto"/>
            <w:vAlign w:val="center"/>
            <w:hideMark/>
          </w:tcPr>
          <w:p w14:paraId="655FFD90"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xml:space="preserve">1.893.126,78 </w:t>
            </w:r>
          </w:p>
        </w:tc>
      </w:tr>
      <w:tr w:rsidR="00DD1F19" w:rsidRPr="00253515" w14:paraId="22EB8A6C" w14:textId="77777777" w:rsidTr="00DD1F19">
        <w:trPr>
          <w:trHeight w:val="229"/>
        </w:trPr>
        <w:tc>
          <w:tcPr>
            <w:tcW w:w="2496" w:type="pct"/>
            <w:tcBorders>
              <w:top w:val="nil"/>
              <w:left w:val="single" w:sz="4" w:space="0" w:color="auto"/>
              <w:bottom w:val="single" w:sz="4" w:space="0" w:color="auto"/>
              <w:right w:val="single" w:sz="4" w:space="0" w:color="auto"/>
            </w:tcBorders>
            <w:shd w:val="clear" w:color="auto" w:fill="auto"/>
            <w:vAlign w:val="center"/>
            <w:hideMark/>
          </w:tcPr>
          <w:p w14:paraId="4D2BD809" w14:textId="77777777" w:rsidR="00DD1F19" w:rsidRPr="00253515" w:rsidRDefault="00DD1F19" w:rsidP="00253515">
            <w:pPr>
              <w:spacing w:after="0" w:line="240" w:lineRule="auto"/>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Constituição da provisão</w:t>
            </w:r>
          </w:p>
        </w:tc>
        <w:tc>
          <w:tcPr>
            <w:tcW w:w="897" w:type="pct"/>
            <w:tcBorders>
              <w:top w:val="nil"/>
              <w:left w:val="nil"/>
              <w:bottom w:val="single" w:sz="4" w:space="0" w:color="auto"/>
              <w:right w:val="single" w:sz="4" w:space="0" w:color="auto"/>
            </w:tcBorders>
            <w:shd w:val="clear" w:color="auto" w:fill="auto"/>
            <w:vAlign w:val="center"/>
            <w:hideMark/>
          </w:tcPr>
          <w:p w14:paraId="260BB8AC" w14:textId="77777777" w:rsidR="00DD1F19" w:rsidRPr="00253515" w:rsidRDefault="00DD1F19" w:rsidP="00253515">
            <w:pPr>
              <w:spacing w:after="0" w:line="240" w:lineRule="auto"/>
              <w:jc w:val="center"/>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w:t>
            </w:r>
          </w:p>
        </w:tc>
        <w:tc>
          <w:tcPr>
            <w:tcW w:w="897" w:type="pct"/>
            <w:tcBorders>
              <w:top w:val="nil"/>
              <w:left w:val="nil"/>
              <w:bottom w:val="single" w:sz="4" w:space="0" w:color="auto"/>
              <w:right w:val="single" w:sz="4" w:space="0" w:color="auto"/>
            </w:tcBorders>
            <w:shd w:val="clear" w:color="auto" w:fill="auto"/>
            <w:vAlign w:val="center"/>
            <w:hideMark/>
          </w:tcPr>
          <w:p w14:paraId="2AB86B70" w14:textId="77777777" w:rsidR="00DD1F19" w:rsidRPr="00253515" w:rsidRDefault="00DD1F19" w:rsidP="00253515">
            <w:pPr>
              <w:spacing w:after="0" w:line="240" w:lineRule="auto"/>
              <w:jc w:val="right"/>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 xml:space="preserve">43.936,62 </w:t>
            </w:r>
          </w:p>
        </w:tc>
        <w:tc>
          <w:tcPr>
            <w:tcW w:w="710" w:type="pct"/>
            <w:tcBorders>
              <w:top w:val="nil"/>
              <w:left w:val="nil"/>
              <w:bottom w:val="single" w:sz="4" w:space="0" w:color="auto"/>
              <w:right w:val="single" w:sz="4" w:space="0" w:color="auto"/>
            </w:tcBorders>
            <w:shd w:val="clear" w:color="auto" w:fill="auto"/>
            <w:vAlign w:val="center"/>
            <w:hideMark/>
          </w:tcPr>
          <w:p w14:paraId="5F1E27D9"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w:t>
            </w:r>
          </w:p>
        </w:tc>
      </w:tr>
      <w:tr w:rsidR="00DD1F19" w:rsidRPr="00253515" w14:paraId="4A9AEAA3" w14:textId="77777777" w:rsidTr="00DD1F19">
        <w:trPr>
          <w:trHeight w:val="229"/>
        </w:trPr>
        <w:tc>
          <w:tcPr>
            <w:tcW w:w="2496" w:type="pct"/>
            <w:tcBorders>
              <w:top w:val="nil"/>
              <w:left w:val="single" w:sz="4" w:space="0" w:color="auto"/>
              <w:bottom w:val="single" w:sz="4" w:space="0" w:color="auto"/>
              <w:right w:val="single" w:sz="4" w:space="0" w:color="auto"/>
            </w:tcBorders>
            <w:shd w:val="clear" w:color="auto" w:fill="auto"/>
            <w:vAlign w:val="center"/>
            <w:hideMark/>
          </w:tcPr>
          <w:p w14:paraId="375B4DBF" w14:textId="77777777" w:rsidR="00DD1F19" w:rsidRPr="00253515" w:rsidRDefault="00DD1F19" w:rsidP="00253515">
            <w:pPr>
              <w:spacing w:after="0" w:line="240" w:lineRule="auto"/>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Reversão da provisão</w:t>
            </w:r>
          </w:p>
        </w:tc>
        <w:tc>
          <w:tcPr>
            <w:tcW w:w="897" w:type="pct"/>
            <w:tcBorders>
              <w:top w:val="nil"/>
              <w:left w:val="nil"/>
              <w:bottom w:val="single" w:sz="4" w:space="0" w:color="auto"/>
              <w:right w:val="single" w:sz="4" w:space="0" w:color="auto"/>
            </w:tcBorders>
            <w:shd w:val="clear" w:color="auto" w:fill="auto"/>
            <w:vAlign w:val="center"/>
            <w:hideMark/>
          </w:tcPr>
          <w:p w14:paraId="44C27393" w14:textId="77777777" w:rsidR="00DD1F19" w:rsidRPr="00253515" w:rsidRDefault="00DD1F19" w:rsidP="00253515">
            <w:pPr>
              <w:spacing w:after="0" w:line="240" w:lineRule="auto"/>
              <w:jc w:val="right"/>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 xml:space="preserve">(7.647,15) </w:t>
            </w:r>
          </w:p>
        </w:tc>
        <w:tc>
          <w:tcPr>
            <w:tcW w:w="897" w:type="pct"/>
            <w:tcBorders>
              <w:top w:val="nil"/>
              <w:left w:val="nil"/>
              <w:bottom w:val="single" w:sz="4" w:space="0" w:color="auto"/>
              <w:right w:val="single" w:sz="4" w:space="0" w:color="auto"/>
            </w:tcBorders>
            <w:shd w:val="clear" w:color="auto" w:fill="auto"/>
            <w:vAlign w:val="center"/>
            <w:hideMark/>
          </w:tcPr>
          <w:p w14:paraId="72D8AA69" w14:textId="06F5BE43" w:rsidR="00DD1F19" w:rsidRPr="00253515" w:rsidRDefault="00DD1F19" w:rsidP="00DD1F19">
            <w:pPr>
              <w:spacing w:after="0" w:line="240" w:lineRule="auto"/>
              <w:jc w:val="center"/>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p>
        </w:tc>
        <w:tc>
          <w:tcPr>
            <w:tcW w:w="710" w:type="pct"/>
            <w:tcBorders>
              <w:top w:val="nil"/>
              <w:left w:val="nil"/>
              <w:bottom w:val="single" w:sz="4" w:space="0" w:color="auto"/>
              <w:right w:val="single" w:sz="4" w:space="0" w:color="auto"/>
            </w:tcBorders>
            <w:shd w:val="clear" w:color="auto" w:fill="auto"/>
            <w:vAlign w:val="center"/>
            <w:hideMark/>
          </w:tcPr>
          <w:p w14:paraId="30626A75"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w:t>
            </w:r>
          </w:p>
        </w:tc>
      </w:tr>
      <w:tr w:rsidR="00DD1F19" w:rsidRPr="00253515" w14:paraId="7301E1F6" w14:textId="77777777" w:rsidTr="00DD1F19">
        <w:trPr>
          <w:trHeight w:val="229"/>
        </w:trPr>
        <w:tc>
          <w:tcPr>
            <w:tcW w:w="2496" w:type="pct"/>
            <w:tcBorders>
              <w:top w:val="nil"/>
              <w:left w:val="single" w:sz="4" w:space="0" w:color="auto"/>
              <w:bottom w:val="single" w:sz="4" w:space="0" w:color="auto"/>
              <w:right w:val="single" w:sz="4" w:space="0" w:color="auto"/>
            </w:tcBorders>
            <w:shd w:val="clear" w:color="auto" w:fill="auto"/>
            <w:vAlign w:val="center"/>
            <w:hideMark/>
          </w:tcPr>
          <w:p w14:paraId="34284AC7" w14:textId="77777777" w:rsidR="00DD1F19" w:rsidRPr="00253515" w:rsidRDefault="00DD1F19" w:rsidP="00253515">
            <w:pPr>
              <w:spacing w:after="0" w:line="240" w:lineRule="auto"/>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Atualização durante o exercício</w:t>
            </w:r>
          </w:p>
        </w:tc>
        <w:tc>
          <w:tcPr>
            <w:tcW w:w="897" w:type="pct"/>
            <w:tcBorders>
              <w:top w:val="nil"/>
              <w:left w:val="nil"/>
              <w:bottom w:val="single" w:sz="4" w:space="0" w:color="auto"/>
              <w:right w:val="single" w:sz="4" w:space="0" w:color="auto"/>
            </w:tcBorders>
            <w:shd w:val="clear" w:color="auto" w:fill="auto"/>
            <w:vAlign w:val="center"/>
            <w:hideMark/>
          </w:tcPr>
          <w:p w14:paraId="08C98CC9" w14:textId="77777777" w:rsidR="00DD1F19" w:rsidRPr="00253515" w:rsidRDefault="00DD1F19" w:rsidP="00DD1F19">
            <w:pPr>
              <w:spacing w:after="0" w:line="240" w:lineRule="auto"/>
              <w:jc w:val="center"/>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w:t>
            </w:r>
          </w:p>
        </w:tc>
        <w:tc>
          <w:tcPr>
            <w:tcW w:w="897" w:type="pct"/>
            <w:tcBorders>
              <w:top w:val="nil"/>
              <w:left w:val="nil"/>
              <w:bottom w:val="single" w:sz="4" w:space="0" w:color="auto"/>
              <w:right w:val="single" w:sz="4" w:space="0" w:color="auto"/>
            </w:tcBorders>
            <w:shd w:val="clear" w:color="auto" w:fill="auto"/>
            <w:vAlign w:val="center"/>
            <w:hideMark/>
          </w:tcPr>
          <w:p w14:paraId="372AC25A" w14:textId="77777777" w:rsidR="00DD1F19" w:rsidRPr="00253515" w:rsidRDefault="00DD1F19" w:rsidP="00253515">
            <w:pPr>
              <w:spacing w:after="0" w:line="240" w:lineRule="auto"/>
              <w:jc w:val="right"/>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 xml:space="preserve">86.724,85 </w:t>
            </w:r>
          </w:p>
        </w:tc>
        <w:tc>
          <w:tcPr>
            <w:tcW w:w="710" w:type="pct"/>
            <w:tcBorders>
              <w:top w:val="nil"/>
              <w:left w:val="nil"/>
              <w:bottom w:val="single" w:sz="4" w:space="0" w:color="auto"/>
              <w:right w:val="single" w:sz="4" w:space="0" w:color="auto"/>
            </w:tcBorders>
            <w:shd w:val="clear" w:color="auto" w:fill="auto"/>
            <w:vAlign w:val="center"/>
            <w:hideMark/>
          </w:tcPr>
          <w:p w14:paraId="7BCFEE9C"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w:t>
            </w:r>
          </w:p>
        </w:tc>
      </w:tr>
      <w:tr w:rsidR="00DD1F19" w:rsidRPr="00253515" w14:paraId="5B8CE8E8" w14:textId="77777777" w:rsidTr="00DD1F19">
        <w:trPr>
          <w:trHeight w:val="229"/>
        </w:trPr>
        <w:tc>
          <w:tcPr>
            <w:tcW w:w="2496" w:type="pct"/>
            <w:tcBorders>
              <w:top w:val="nil"/>
              <w:left w:val="single" w:sz="4" w:space="0" w:color="auto"/>
              <w:bottom w:val="single" w:sz="4" w:space="0" w:color="auto"/>
              <w:right w:val="single" w:sz="4" w:space="0" w:color="auto"/>
            </w:tcBorders>
            <w:shd w:val="clear" w:color="auto" w:fill="auto"/>
            <w:vAlign w:val="center"/>
            <w:hideMark/>
          </w:tcPr>
          <w:p w14:paraId="2A468DFC" w14:textId="77777777" w:rsidR="00DD1F19" w:rsidRPr="00253515" w:rsidRDefault="00DD1F19" w:rsidP="00253515">
            <w:pPr>
              <w:spacing w:after="0" w:line="240" w:lineRule="auto"/>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Saldo em 31 de dezembro de 2022</w:t>
            </w:r>
          </w:p>
        </w:tc>
        <w:tc>
          <w:tcPr>
            <w:tcW w:w="897" w:type="pct"/>
            <w:tcBorders>
              <w:top w:val="nil"/>
              <w:left w:val="nil"/>
              <w:bottom w:val="single" w:sz="4" w:space="0" w:color="auto"/>
              <w:right w:val="single" w:sz="4" w:space="0" w:color="auto"/>
            </w:tcBorders>
            <w:shd w:val="clear" w:color="auto" w:fill="auto"/>
            <w:vAlign w:val="center"/>
            <w:hideMark/>
          </w:tcPr>
          <w:p w14:paraId="6FC1BA83"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xml:space="preserve">0,00 </w:t>
            </w:r>
          </w:p>
        </w:tc>
        <w:tc>
          <w:tcPr>
            <w:tcW w:w="897" w:type="pct"/>
            <w:tcBorders>
              <w:top w:val="nil"/>
              <w:left w:val="nil"/>
              <w:bottom w:val="single" w:sz="4" w:space="0" w:color="auto"/>
              <w:right w:val="single" w:sz="4" w:space="0" w:color="auto"/>
            </w:tcBorders>
            <w:shd w:val="clear" w:color="auto" w:fill="auto"/>
            <w:vAlign w:val="center"/>
            <w:hideMark/>
          </w:tcPr>
          <w:p w14:paraId="761D15BE"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xml:space="preserve">2.016.141,10 </w:t>
            </w:r>
          </w:p>
        </w:tc>
        <w:tc>
          <w:tcPr>
            <w:tcW w:w="710" w:type="pct"/>
            <w:tcBorders>
              <w:top w:val="nil"/>
              <w:left w:val="nil"/>
              <w:bottom w:val="single" w:sz="4" w:space="0" w:color="auto"/>
              <w:right w:val="single" w:sz="4" w:space="0" w:color="auto"/>
            </w:tcBorders>
            <w:shd w:val="clear" w:color="auto" w:fill="auto"/>
            <w:vAlign w:val="center"/>
            <w:hideMark/>
          </w:tcPr>
          <w:p w14:paraId="012DF7ED"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xml:space="preserve">2.016.141,10 </w:t>
            </w:r>
          </w:p>
        </w:tc>
      </w:tr>
      <w:tr w:rsidR="00DD1F19" w:rsidRPr="00253515" w14:paraId="3CB90C22" w14:textId="77777777" w:rsidTr="00DD1F19">
        <w:trPr>
          <w:trHeight w:val="229"/>
        </w:trPr>
        <w:tc>
          <w:tcPr>
            <w:tcW w:w="2496" w:type="pct"/>
            <w:tcBorders>
              <w:top w:val="nil"/>
              <w:left w:val="single" w:sz="4" w:space="0" w:color="auto"/>
              <w:bottom w:val="single" w:sz="4" w:space="0" w:color="auto"/>
              <w:right w:val="single" w:sz="4" w:space="0" w:color="auto"/>
            </w:tcBorders>
            <w:shd w:val="clear" w:color="auto" w:fill="auto"/>
            <w:vAlign w:val="center"/>
            <w:hideMark/>
          </w:tcPr>
          <w:p w14:paraId="47CFF3C2" w14:textId="77777777" w:rsidR="00DD1F19" w:rsidRPr="00253515" w:rsidRDefault="00DD1F19" w:rsidP="00253515">
            <w:pPr>
              <w:spacing w:after="0" w:line="240" w:lineRule="auto"/>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Constituição da provisão</w:t>
            </w:r>
          </w:p>
        </w:tc>
        <w:tc>
          <w:tcPr>
            <w:tcW w:w="897" w:type="pct"/>
            <w:tcBorders>
              <w:top w:val="nil"/>
              <w:left w:val="nil"/>
              <w:bottom w:val="single" w:sz="4" w:space="0" w:color="auto"/>
              <w:right w:val="single" w:sz="4" w:space="0" w:color="auto"/>
            </w:tcBorders>
            <w:shd w:val="clear" w:color="auto" w:fill="auto"/>
            <w:vAlign w:val="center"/>
            <w:hideMark/>
          </w:tcPr>
          <w:p w14:paraId="0FC738DD" w14:textId="77777777" w:rsidR="00DD1F19" w:rsidRPr="00253515" w:rsidRDefault="00DD1F19" w:rsidP="00253515">
            <w:pPr>
              <w:spacing w:after="0" w:line="240" w:lineRule="auto"/>
              <w:jc w:val="right"/>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 xml:space="preserve">101.482,41 </w:t>
            </w:r>
          </w:p>
        </w:tc>
        <w:tc>
          <w:tcPr>
            <w:tcW w:w="897" w:type="pct"/>
            <w:tcBorders>
              <w:top w:val="nil"/>
              <w:left w:val="nil"/>
              <w:bottom w:val="single" w:sz="4" w:space="0" w:color="auto"/>
              <w:right w:val="single" w:sz="4" w:space="0" w:color="auto"/>
            </w:tcBorders>
            <w:shd w:val="clear" w:color="auto" w:fill="auto"/>
            <w:vAlign w:val="center"/>
            <w:hideMark/>
          </w:tcPr>
          <w:p w14:paraId="68DD3286" w14:textId="77777777" w:rsidR="00DD1F19" w:rsidRPr="00253515" w:rsidRDefault="00DD1F19" w:rsidP="00253515">
            <w:pPr>
              <w:spacing w:after="0" w:line="240" w:lineRule="auto"/>
              <w:jc w:val="right"/>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 xml:space="preserve">44.748,37 </w:t>
            </w:r>
          </w:p>
        </w:tc>
        <w:tc>
          <w:tcPr>
            <w:tcW w:w="710" w:type="pct"/>
            <w:tcBorders>
              <w:top w:val="nil"/>
              <w:left w:val="nil"/>
              <w:bottom w:val="single" w:sz="4" w:space="0" w:color="auto"/>
              <w:right w:val="single" w:sz="4" w:space="0" w:color="auto"/>
            </w:tcBorders>
            <w:shd w:val="clear" w:color="auto" w:fill="auto"/>
            <w:vAlign w:val="center"/>
            <w:hideMark/>
          </w:tcPr>
          <w:p w14:paraId="50FAB330"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w:t>
            </w:r>
          </w:p>
        </w:tc>
      </w:tr>
      <w:tr w:rsidR="00DD1F19" w:rsidRPr="00253515" w14:paraId="342F04EF" w14:textId="77777777" w:rsidTr="00DD1F19">
        <w:trPr>
          <w:trHeight w:val="229"/>
        </w:trPr>
        <w:tc>
          <w:tcPr>
            <w:tcW w:w="2496" w:type="pct"/>
            <w:tcBorders>
              <w:top w:val="nil"/>
              <w:left w:val="single" w:sz="4" w:space="0" w:color="auto"/>
              <w:bottom w:val="single" w:sz="4" w:space="0" w:color="auto"/>
              <w:right w:val="single" w:sz="4" w:space="0" w:color="auto"/>
            </w:tcBorders>
            <w:shd w:val="clear" w:color="auto" w:fill="auto"/>
            <w:vAlign w:val="center"/>
            <w:hideMark/>
          </w:tcPr>
          <w:p w14:paraId="4DCF1760" w14:textId="77777777" w:rsidR="00DD1F19" w:rsidRPr="00253515" w:rsidRDefault="00DD1F19" w:rsidP="00253515">
            <w:pPr>
              <w:spacing w:after="0" w:line="240" w:lineRule="auto"/>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Atualização durante o exercício</w:t>
            </w:r>
          </w:p>
        </w:tc>
        <w:tc>
          <w:tcPr>
            <w:tcW w:w="897" w:type="pct"/>
            <w:tcBorders>
              <w:top w:val="nil"/>
              <w:left w:val="nil"/>
              <w:bottom w:val="single" w:sz="4" w:space="0" w:color="auto"/>
              <w:right w:val="single" w:sz="4" w:space="0" w:color="auto"/>
            </w:tcBorders>
            <w:shd w:val="clear" w:color="auto" w:fill="auto"/>
            <w:vAlign w:val="center"/>
            <w:hideMark/>
          </w:tcPr>
          <w:p w14:paraId="1CC096AB" w14:textId="77777777" w:rsidR="00DD1F19" w:rsidRPr="00253515" w:rsidRDefault="00DD1F19" w:rsidP="00DD1F19">
            <w:pPr>
              <w:spacing w:after="0" w:line="240" w:lineRule="auto"/>
              <w:jc w:val="center"/>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w:t>
            </w:r>
          </w:p>
        </w:tc>
        <w:tc>
          <w:tcPr>
            <w:tcW w:w="897" w:type="pct"/>
            <w:tcBorders>
              <w:top w:val="nil"/>
              <w:left w:val="nil"/>
              <w:bottom w:val="single" w:sz="4" w:space="0" w:color="auto"/>
              <w:right w:val="single" w:sz="4" w:space="0" w:color="auto"/>
            </w:tcBorders>
            <w:shd w:val="clear" w:color="auto" w:fill="auto"/>
            <w:vAlign w:val="center"/>
            <w:hideMark/>
          </w:tcPr>
          <w:p w14:paraId="2360DAF7" w14:textId="77777777" w:rsidR="00DD1F19" w:rsidRPr="00253515" w:rsidRDefault="00DD1F19" w:rsidP="00253515">
            <w:pPr>
              <w:spacing w:after="0" w:line="240" w:lineRule="auto"/>
              <w:jc w:val="right"/>
              <w:rPr>
                <w:rFonts w:ascii="Arial" w:eastAsia="Times New Roman" w:hAnsi="Arial" w:cs="Arial"/>
                <w:kern w:val="0"/>
                <w:sz w:val="16"/>
                <w:szCs w:val="16"/>
                <w14:ligatures w14:val="none"/>
              </w:rPr>
            </w:pPr>
            <w:r w:rsidRPr="00253515">
              <w:rPr>
                <w:rFonts w:ascii="Arial" w:eastAsia="Times New Roman" w:hAnsi="Arial" w:cs="Arial"/>
                <w:kern w:val="0"/>
                <w:sz w:val="16"/>
                <w:szCs w:val="16"/>
                <w14:ligatures w14:val="none"/>
              </w:rPr>
              <w:t xml:space="preserve">264.119,55 </w:t>
            </w:r>
          </w:p>
        </w:tc>
        <w:tc>
          <w:tcPr>
            <w:tcW w:w="710" w:type="pct"/>
            <w:tcBorders>
              <w:top w:val="nil"/>
              <w:left w:val="nil"/>
              <w:bottom w:val="single" w:sz="4" w:space="0" w:color="auto"/>
              <w:right w:val="single" w:sz="4" w:space="0" w:color="auto"/>
            </w:tcBorders>
            <w:shd w:val="clear" w:color="auto" w:fill="auto"/>
            <w:vAlign w:val="center"/>
            <w:hideMark/>
          </w:tcPr>
          <w:p w14:paraId="4E1FC756"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w:t>
            </w:r>
          </w:p>
        </w:tc>
      </w:tr>
      <w:tr w:rsidR="00DD1F19" w:rsidRPr="00253515" w14:paraId="387D5BCF" w14:textId="77777777" w:rsidTr="00DD1F19">
        <w:trPr>
          <w:trHeight w:val="229"/>
        </w:trPr>
        <w:tc>
          <w:tcPr>
            <w:tcW w:w="2496" w:type="pct"/>
            <w:tcBorders>
              <w:top w:val="nil"/>
              <w:left w:val="single" w:sz="4" w:space="0" w:color="auto"/>
              <w:bottom w:val="single" w:sz="4" w:space="0" w:color="auto"/>
              <w:right w:val="single" w:sz="4" w:space="0" w:color="auto"/>
            </w:tcBorders>
            <w:shd w:val="clear" w:color="auto" w:fill="auto"/>
            <w:vAlign w:val="center"/>
            <w:hideMark/>
          </w:tcPr>
          <w:p w14:paraId="0ADD24BC" w14:textId="77777777" w:rsidR="00DD1F19" w:rsidRPr="00253515" w:rsidRDefault="00DD1F19" w:rsidP="00253515">
            <w:pPr>
              <w:spacing w:after="0" w:line="240" w:lineRule="auto"/>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Saldo em 31 de dezembro de 2023</w:t>
            </w:r>
          </w:p>
        </w:tc>
        <w:tc>
          <w:tcPr>
            <w:tcW w:w="897" w:type="pct"/>
            <w:tcBorders>
              <w:top w:val="nil"/>
              <w:left w:val="nil"/>
              <w:bottom w:val="single" w:sz="4" w:space="0" w:color="auto"/>
              <w:right w:val="single" w:sz="4" w:space="0" w:color="auto"/>
            </w:tcBorders>
            <w:shd w:val="clear" w:color="auto" w:fill="auto"/>
            <w:vAlign w:val="center"/>
            <w:hideMark/>
          </w:tcPr>
          <w:p w14:paraId="60D706F4"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xml:space="preserve">101.482,41 </w:t>
            </w:r>
          </w:p>
        </w:tc>
        <w:tc>
          <w:tcPr>
            <w:tcW w:w="897" w:type="pct"/>
            <w:tcBorders>
              <w:top w:val="nil"/>
              <w:left w:val="nil"/>
              <w:bottom w:val="single" w:sz="4" w:space="0" w:color="auto"/>
              <w:right w:val="single" w:sz="4" w:space="0" w:color="auto"/>
            </w:tcBorders>
            <w:shd w:val="clear" w:color="auto" w:fill="auto"/>
            <w:vAlign w:val="center"/>
            <w:hideMark/>
          </w:tcPr>
          <w:p w14:paraId="3432A37F"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xml:space="preserve">2.325.009,02 </w:t>
            </w:r>
          </w:p>
        </w:tc>
        <w:tc>
          <w:tcPr>
            <w:tcW w:w="710" w:type="pct"/>
            <w:tcBorders>
              <w:top w:val="nil"/>
              <w:left w:val="nil"/>
              <w:bottom w:val="single" w:sz="4" w:space="0" w:color="auto"/>
              <w:right w:val="single" w:sz="4" w:space="0" w:color="auto"/>
            </w:tcBorders>
            <w:shd w:val="clear" w:color="auto" w:fill="auto"/>
            <w:vAlign w:val="center"/>
            <w:hideMark/>
          </w:tcPr>
          <w:p w14:paraId="2954E261" w14:textId="77777777" w:rsidR="00DD1F19" w:rsidRPr="00253515" w:rsidRDefault="00DD1F19" w:rsidP="00253515">
            <w:pPr>
              <w:spacing w:after="0" w:line="240" w:lineRule="auto"/>
              <w:jc w:val="right"/>
              <w:rPr>
                <w:rFonts w:ascii="Arial" w:eastAsia="Times New Roman" w:hAnsi="Arial" w:cs="Arial"/>
                <w:b/>
                <w:bCs/>
                <w:kern w:val="0"/>
                <w:sz w:val="16"/>
                <w:szCs w:val="16"/>
                <w14:ligatures w14:val="none"/>
              </w:rPr>
            </w:pPr>
            <w:r w:rsidRPr="00253515">
              <w:rPr>
                <w:rFonts w:ascii="Arial" w:eastAsia="Times New Roman" w:hAnsi="Arial" w:cs="Arial"/>
                <w:b/>
                <w:bCs/>
                <w:kern w:val="0"/>
                <w:sz w:val="16"/>
                <w:szCs w:val="16"/>
                <w14:ligatures w14:val="none"/>
              </w:rPr>
              <w:t xml:space="preserve">2.426.491,43 </w:t>
            </w:r>
          </w:p>
        </w:tc>
      </w:tr>
    </w:tbl>
    <w:p w14:paraId="60C460D7" w14:textId="54F4C4D2" w:rsidR="00FE0C5A" w:rsidRDefault="000C18DB">
      <w:pPr>
        <w:pStyle w:val="NormalWeb"/>
        <w:jc w:val="both"/>
      </w:pPr>
      <w:r>
        <w:rPr>
          <w:rFonts w:ascii="Arial" w:hAnsi="Arial" w:cs="Arial"/>
          <w:sz w:val="20"/>
          <w:szCs w:val="20"/>
        </w:rPr>
        <w:t xml:space="preserve">Segundo a assessoria jurídica do SICOOB COPERSUL, existem processos judiciais nos quais a Cooperativa figura como polo passivo, os quais foram classificados com risco de perda possível, totalizando </w:t>
      </w:r>
      <w:r>
        <w:rPr>
          <w:rFonts w:ascii="Arial" w:hAnsi="Arial" w:cs="Arial"/>
          <w:b/>
          <w:bCs/>
          <w:sz w:val="20"/>
          <w:szCs w:val="20"/>
        </w:rPr>
        <w:t>R$</w:t>
      </w:r>
      <w:r w:rsidR="00E432B3">
        <w:rPr>
          <w:rFonts w:ascii="Arial" w:hAnsi="Arial" w:cs="Arial"/>
          <w:b/>
          <w:bCs/>
          <w:sz w:val="20"/>
          <w:szCs w:val="20"/>
        </w:rPr>
        <w:t xml:space="preserve"> 20.061,84</w:t>
      </w:r>
      <w:r>
        <w:rPr>
          <w:rFonts w:ascii="Arial" w:hAnsi="Arial" w:cs="Arial"/>
          <w:sz w:val="20"/>
          <w:szCs w:val="20"/>
        </w:rPr>
        <w:t xml:space="preserve">. Essas ações abrangem, </w:t>
      </w:r>
      <w:r>
        <w:rPr>
          <w:rFonts w:ascii="Arial" w:hAnsi="Arial" w:cs="Arial"/>
          <w:sz w:val="20"/>
          <w:szCs w:val="20"/>
        </w:rPr>
        <w:t>basicamente, processos trabalhistas ou cíveis.</w:t>
      </w:r>
    </w:p>
    <w:p w14:paraId="456CA5CE" w14:textId="77777777" w:rsidR="00FE0C5A" w:rsidRDefault="000C18DB">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7421967E" w14:textId="25C950FA" w:rsidR="00FE0C5A" w:rsidRDefault="00C17D14">
      <w:pPr>
        <w:pStyle w:val="NormalWeb"/>
      </w:pPr>
      <w:r>
        <w:rPr>
          <w:rFonts w:ascii="Arial" w:hAnsi="Arial" w:cs="Arial"/>
          <w:b/>
          <w:bCs/>
          <w:sz w:val="20"/>
          <w:szCs w:val="20"/>
        </w:rPr>
        <w:t>17. Obrigações Fiscais, Correntes e Diferidas</w:t>
      </w:r>
    </w:p>
    <w:p w14:paraId="479744A0" w14:textId="77777777" w:rsidR="00FE0C5A" w:rsidRDefault="000C18DB">
      <w:pPr>
        <w:pStyle w:val="NormalWeb"/>
        <w:jc w:val="both"/>
      </w:pPr>
      <w:r>
        <w:rPr>
          <w:rFonts w:ascii="Arial" w:hAnsi="Arial" w:cs="Arial"/>
          <w:sz w:val="20"/>
          <w:szCs w:val="20"/>
        </w:rPr>
        <w:lastRenderedPageBreak/>
        <w:t>Em 31 de dezembro de 2023 e 2022,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3790"/>
        <w:gridCol w:w="869"/>
        <w:gridCol w:w="1219"/>
        <w:gridCol w:w="869"/>
        <w:gridCol w:w="1011"/>
        <w:gridCol w:w="1219"/>
        <w:gridCol w:w="1011"/>
      </w:tblGrid>
      <w:tr w:rsidR="00FE0C5A" w14:paraId="7A0CCE8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309AD9"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B13FD1"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E9E540"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66042B2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85BB156"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AF152B"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C0629"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5302F"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63405"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67F75"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4649A"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33C553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F874BF" w14:textId="77777777" w:rsidR="00FE0C5A" w:rsidRDefault="000C18DB" w:rsidP="00F113BD">
            <w:pPr>
              <w:spacing w:after="0"/>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3ADB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BEF4A"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7D18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4A15" w14:textId="77777777" w:rsidR="00FE0C5A" w:rsidRDefault="000C18DB" w:rsidP="00F113BD">
            <w:pPr>
              <w:spacing w:after="0"/>
              <w:jc w:val="right"/>
              <w:rPr>
                <w:rFonts w:eastAsia="Times New Roman"/>
              </w:rPr>
            </w:pPr>
            <w:r>
              <w:rPr>
                <w:rFonts w:ascii="Arial" w:eastAsia="Times New Roman" w:hAnsi="Arial" w:cs="Arial"/>
                <w:sz w:val="16"/>
                <w:szCs w:val="16"/>
              </w:rPr>
              <w:t>646.997,50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FEA0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13B86" w14:textId="77777777" w:rsidR="00FE0C5A" w:rsidRDefault="000C18DB" w:rsidP="00F113BD">
            <w:pPr>
              <w:spacing w:after="0"/>
              <w:jc w:val="right"/>
              <w:rPr>
                <w:rFonts w:eastAsia="Times New Roman"/>
              </w:rPr>
            </w:pPr>
            <w:r>
              <w:rPr>
                <w:rFonts w:ascii="Arial" w:eastAsia="Times New Roman" w:hAnsi="Arial" w:cs="Arial"/>
                <w:sz w:val="16"/>
                <w:szCs w:val="16"/>
              </w:rPr>
              <w:t>646.997,50</w:t>
            </w:r>
          </w:p>
        </w:tc>
      </w:tr>
      <w:tr w:rsidR="00FE0C5A" w14:paraId="12694F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261A0F" w14:textId="77777777" w:rsidR="00FE0C5A" w:rsidRDefault="000C18DB" w:rsidP="00F113BD">
            <w:pPr>
              <w:spacing w:after="0"/>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291BC" w14:textId="77777777" w:rsidR="00FE0C5A" w:rsidRDefault="000C18DB" w:rsidP="00F113BD">
            <w:pPr>
              <w:spacing w:after="0"/>
              <w:jc w:val="right"/>
              <w:rPr>
                <w:rFonts w:eastAsia="Times New Roman"/>
              </w:rPr>
            </w:pPr>
            <w:r>
              <w:rPr>
                <w:rFonts w:ascii="Arial" w:eastAsia="Times New Roman" w:hAnsi="Arial" w:cs="Arial"/>
                <w:sz w:val="16"/>
                <w:szCs w:val="16"/>
              </w:rPr>
              <w:t>25.766,04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D9C6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71E92" w14:textId="77777777" w:rsidR="00FE0C5A" w:rsidRDefault="000C18DB" w:rsidP="00F113BD">
            <w:pPr>
              <w:spacing w:after="0"/>
              <w:jc w:val="right"/>
              <w:rPr>
                <w:rFonts w:eastAsia="Times New Roman"/>
              </w:rPr>
            </w:pPr>
            <w:r>
              <w:rPr>
                <w:rFonts w:ascii="Arial" w:eastAsia="Times New Roman" w:hAnsi="Arial" w:cs="Arial"/>
                <w:sz w:val="16"/>
                <w:szCs w:val="16"/>
              </w:rPr>
              <w:t>25.766,04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CB57C" w14:textId="77777777" w:rsidR="00FE0C5A" w:rsidRDefault="000C18DB" w:rsidP="00F113BD">
            <w:pPr>
              <w:spacing w:after="0"/>
              <w:jc w:val="right"/>
              <w:rPr>
                <w:rFonts w:eastAsia="Times New Roman"/>
              </w:rPr>
            </w:pPr>
            <w:r>
              <w:rPr>
                <w:rFonts w:ascii="Arial" w:eastAsia="Times New Roman" w:hAnsi="Arial" w:cs="Arial"/>
                <w:sz w:val="16"/>
                <w:szCs w:val="16"/>
              </w:rPr>
              <w:t>22.790,90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B25D9"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7BA77" w14:textId="77777777" w:rsidR="00FE0C5A" w:rsidRDefault="000C18DB" w:rsidP="00F113BD">
            <w:pPr>
              <w:spacing w:after="0"/>
              <w:jc w:val="right"/>
              <w:rPr>
                <w:rFonts w:eastAsia="Times New Roman"/>
              </w:rPr>
            </w:pPr>
            <w:r>
              <w:rPr>
                <w:rFonts w:ascii="Arial" w:eastAsia="Times New Roman" w:hAnsi="Arial" w:cs="Arial"/>
                <w:sz w:val="16"/>
                <w:szCs w:val="16"/>
              </w:rPr>
              <w:t>22.790,90</w:t>
            </w:r>
          </w:p>
        </w:tc>
      </w:tr>
      <w:tr w:rsidR="00FE0C5A" w14:paraId="7C327D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2587DC" w14:textId="77777777" w:rsidR="00FE0C5A" w:rsidRDefault="000C18DB" w:rsidP="00F113BD">
            <w:pPr>
              <w:spacing w:after="0"/>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A0093" w14:textId="77777777" w:rsidR="00FE0C5A" w:rsidRDefault="000C18DB" w:rsidP="00F113BD">
            <w:pPr>
              <w:spacing w:after="0"/>
              <w:jc w:val="right"/>
              <w:rPr>
                <w:rFonts w:eastAsia="Times New Roman"/>
              </w:rPr>
            </w:pPr>
            <w:r>
              <w:rPr>
                <w:rFonts w:ascii="Arial" w:eastAsia="Times New Roman" w:hAnsi="Arial" w:cs="Arial"/>
                <w:sz w:val="16"/>
                <w:szCs w:val="16"/>
              </w:rPr>
              <w:t>394.162,61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4F8C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87096" w14:textId="77777777" w:rsidR="00FE0C5A" w:rsidRDefault="000C18DB" w:rsidP="00F113BD">
            <w:pPr>
              <w:spacing w:after="0"/>
              <w:jc w:val="right"/>
              <w:rPr>
                <w:rFonts w:eastAsia="Times New Roman"/>
              </w:rPr>
            </w:pPr>
            <w:r>
              <w:rPr>
                <w:rFonts w:ascii="Arial" w:eastAsia="Times New Roman" w:hAnsi="Arial" w:cs="Arial"/>
                <w:sz w:val="16"/>
                <w:szCs w:val="16"/>
              </w:rPr>
              <w:t>394.162,61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40E38" w14:textId="77777777" w:rsidR="00FE0C5A" w:rsidRDefault="000C18DB" w:rsidP="00F113BD">
            <w:pPr>
              <w:spacing w:after="0"/>
              <w:jc w:val="right"/>
              <w:rPr>
                <w:rFonts w:eastAsia="Times New Roman"/>
              </w:rPr>
            </w:pPr>
            <w:r>
              <w:rPr>
                <w:rFonts w:ascii="Arial" w:eastAsia="Times New Roman" w:hAnsi="Arial" w:cs="Arial"/>
                <w:sz w:val="16"/>
                <w:szCs w:val="16"/>
              </w:rPr>
              <w:t>280.037,89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2718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B2E0D" w14:textId="77777777" w:rsidR="00FE0C5A" w:rsidRDefault="000C18DB" w:rsidP="00F113BD">
            <w:pPr>
              <w:spacing w:after="0"/>
              <w:jc w:val="right"/>
              <w:rPr>
                <w:rFonts w:eastAsia="Times New Roman"/>
              </w:rPr>
            </w:pPr>
            <w:r>
              <w:rPr>
                <w:rFonts w:ascii="Arial" w:eastAsia="Times New Roman" w:hAnsi="Arial" w:cs="Arial"/>
                <w:sz w:val="16"/>
                <w:szCs w:val="16"/>
              </w:rPr>
              <w:t>280.037,89</w:t>
            </w:r>
          </w:p>
        </w:tc>
      </w:tr>
      <w:tr w:rsidR="00FE0C5A" w14:paraId="1588B9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156801" w14:textId="77777777" w:rsidR="00FE0C5A" w:rsidRDefault="000C18DB" w:rsidP="00F113BD">
            <w:pPr>
              <w:spacing w:after="0"/>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3BAB8" w14:textId="77777777" w:rsidR="00FE0C5A" w:rsidRDefault="000C18DB" w:rsidP="00F113BD">
            <w:pPr>
              <w:spacing w:after="0"/>
              <w:jc w:val="right"/>
              <w:rPr>
                <w:rFonts w:eastAsia="Times New Roman"/>
              </w:rPr>
            </w:pPr>
            <w:r>
              <w:rPr>
                <w:rFonts w:ascii="Arial" w:eastAsia="Times New Roman" w:hAnsi="Arial" w:cs="Arial"/>
                <w:sz w:val="16"/>
                <w:szCs w:val="16"/>
              </w:rPr>
              <w:t>86.682,21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EDBD7"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4AD62" w14:textId="77777777" w:rsidR="00FE0C5A" w:rsidRDefault="000C18DB" w:rsidP="00F113BD">
            <w:pPr>
              <w:spacing w:after="0"/>
              <w:jc w:val="right"/>
              <w:rPr>
                <w:rFonts w:eastAsia="Times New Roman"/>
              </w:rPr>
            </w:pPr>
            <w:r>
              <w:rPr>
                <w:rFonts w:ascii="Arial" w:eastAsia="Times New Roman" w:hAnsi="Arial" w:cs="Arial"/>
                <w:sz w:val="16"/>
                <w:szCs w:val="16"/>
              </w:rPr>
              <w:t>86.682,21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C601E" w14:textId="77777777" w:rsidR="00FE0C5A" w:rsidRDefault="000C18DB" w:rsidP="00F113BD">
            <w:pPr>
              <w:spacing w:after="0"/>
              <w:jc w:val="right"/>
              <w:rPr>
                <w:rFonts w:eastAsia="Times New Roman"/>
              </w:rPr>
            </w:pPr>
            <w:r>
              <w:rPr>
                <w:rFonts w:ascii="Arial" w:eastAsia="Times New Roman" w:hAnsi="Arial" w:cs="Arial"/>
                <w:sz w:val="16"/>
                <w:szCs w:val="16"/>
              </w:rPr>
              <w:t>92.227,89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03EB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371FC" w14:textId="77777777" w:rsidR="00FE0C5A" w:rsidRDefault="000C18DB" w:rsidP="00F113BD">
            <w:pPr>
              <w:spacing w:after="0"/>
              <w:jc w:val="right"/>
              <w:rPr>
                <w:rFonts w:eastAsia="Times New Roman"/>
              </w:rPr>
            </w:pPr>
            <w:r>
              <w:rPr>
                <w:rFonts w:ascii="Arial" w:eastAsia="Times New Roman" w:hAnsi="Arial" w:cs="Arial"/>
                <w:sz w:val="16"/>
                <w:szCs w:val="16"/>
              </w:rPr>
              <w:t>92.227,89</w:t>
            </w:r>
          </w:p>
        </w:tc>
      </w:tr>
      <w:tr w:rsidR="00FE0C5A" w14:paraId="3B79C7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420F83"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9F985" w14:textId="77777777" w:rsidR="00FE0C5A" w:rsidRDefault="000C18DB" w:rsidP="00F113BD">
            <w:pPr>
              <w:spacing w:after="0"/>
              <w:jc w:val="right"/>
              <w:rPr>
                <w:rFonts w:eastAsia="Times New Roman"/>
              </w:rPr>
            </w:pPr>
            <w:r>
              <w:rPr>
                <w:rFonts w:ascii="Arial" w:eastAsia="Times New Roman" w:hAnsi="Arial" w:cs="Arial"/>
                <w:b/>
                <w:bCs/>
                <w:sz w:val="16"/>
                <w:szCs w:val="16"/>
              </w:rPr>
              <w:t>506.610,86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307E"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F2F0F" w14:textId="77777777" w:rsidR="00FE0C5A" w:rsidRDefault="000C18DB" w:rsidP="00F113BD">
            <w:pPr>
              <w:spacing w:after="0"/>
              <w:jc w:val="right"/>
              <w:rPr>
                <w:rFonts w:eastAsia="Times New Roman"/>
              </w:rPr>
            </w:pPr>
            <w:r>
              <w:rPr>
                <w:rFonts w:ascii="Arial" w:eastAsia="Times New Roman" w:hAnsi="Arial" w:cs="Arial"/>
                <w:b/>
                <w:bCs/>
                <w:sz w:val="16"/>
                <w:szCs w:val="16"/>
              </w:rPr>
              <w:t>506.610,86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D31C2" w14:textId="77777777" w:rsidR="00FE0C5A" w:rsidRDefault="000C18DB" w:rsidP="00F113BD">
            <w:pPr>
              <w:spacing w:after="0"/>
              <w:jc w:val="right"/>
              <w:rPr>
                <w:rFonts w:eastAsia="Times New Roman"/>
              </w:rPr>
            </w:pPr>
            <w:r>
              <w:rPr>
                <w:rFonts w:ascii="Arial" w:eastAsia="Times New Roman" w:hAnsi="Arial" w:cs="Arial"/>
                <w:b/>
                <w:bCs/>
                <w:sz w:val="16"/>
                <w:szCs w:val="16"/>
              </w:rPr>
              <w:t>1.042.054,18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ABB1D"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926FF" w14:textId="77777777" w:rsidR="00FE0C5A" w:rsidRDefault="000C18DB" w:rsidP="00F113BD">
            <w:pPr>
              <w:spacing w:after="0"/>
              <w:jc w:val="right"/>
              <w:rPr>
                <w:rFonts w:eastAsia="Times New Roman"/>
              </w:rPr>
            </w:pPr>
            <w:r>
              <w:rPr>
                <w:rFonts w:ascii="Arial" w:eastAsia="Times New Roman" w:hAnsi="Arial" w:cs="Arial"/>
                <w:b/>
                <w:bCs/>
                <w:sz w:val="16"/>
                <w:szCs w:val="16"/>
              </w:rPr>
              <w:t>1.042.054,18</w:t>
            </w:r>
          </w:p>
        </w:tc>
      </w:tr>
    </w:tbl>
    <w:p w14:paraId="49B961AF" w14:textId="77777777" w:rsidR="00FE0C5A" w:rsidRDefault="000C18DB">
      <w:pPr>
        <w:pStyle w:val="NormalWeb"/>
      </w:pPr>
      <w:r>
        <w:rPr>
          <w:rFonts w:ascii="Arial" w:hAnsi="Arial" w:cs="Arial"/>
          <w:sz w:val="20"/>
          <w:szCs w:val="20"/>
        </w:rPr>
        <w:t>(a) A seguir, a composição do saldo de outras obrigações fiscais, correntes e diferidas:</w:t>
      </w:r>
    </w:p>
    <w:tbl>
      <w:tblPr>
        <w:tblW w:w="5000" w:type="pct"/>
        <w:tblCellMar>
          <w:left w:w="0" w:type="dxa"/>
          <w:right w:w="0" w:type="dxa"/>
        </w:tblCellMar>
        <w:tblLook w:val="04A0" w:firstRow="1" w:lastRow="0" w:firstColumn="1" w:lastColumn="0" w:noHBand="0" w:noVBand="1"/>
      </w:tblPr>
      <w:tblGrid>
        <w:gridCol w:w="3142"/>
        <w:gridCol w:w="1023"/>
        <w:gridCol w:w="1468"/>
        <w:gridCol w:w="932"/>
        <w:gridCol w:w="1023"/>
        <w:gridCol w:w="1468"/>
        <w:gridCol w:w="932"/>
      </w:tblGrid>
      <w:tr w:rsidR="00FE0C5A" w14:paraId="1A64338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E546BF"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1D7F4DC"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D99635"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6A2B4A8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11914A4"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398836"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B2EAC"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A5904"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5FB2B"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17F41"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BCA43"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36CF17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D6DCE2" w14:textId="77777777" w:rsidR="00FE0C5A" w:rsidRDefault="000C18DB" w:rsidP="00F113BD">
            <w:pPr>
              <w:spacing w:after="0"/>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49AA6" w14:textId="77777777" w:rsidR="00FE0C5A" w:rsidRDefault="000C18DB" w:rsidP="00F113BD">
            <w:pPr>
              <w:spacing w:after="0"/>
              <w:jc w:val="right"/>
              <w:rPr>
                <w:rFonts w:eastAsia="Times New Roman"/>
              </w:rPr>
            </w:pPr>
            <w:r>
              <w:rPr>
                <w:rFonts w:ascii="Arial" w:eastAsia="Times New Roman" w:hAnsi="Arial" w:cs="Arial"/>
                <w:sz w:val="16"/>
                <w:szCs w:val="16"/>
              </w:rPr>
              <w:t>46.859,06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DB64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5E7A7" w14:textId="77777777" w:rsidR="00FE0C5A" w:rsidRDefault="000C18DB" w:rsidP="00F113BD">
            <w:pPr>
              <w:spacing w:after="0"/>
              <w:jc w:val="right"/>
              <w:rPr>
                <w:rFonts w:eastAsia="Times New Roman"/>
              </w:rPr>
            </w:pPr>
            <w:r>
              <w:rPr>
                <w:rFonts w:ascii="Arial" w:eastAsia="Times New Roman" w:hAnsi="Arial" w:cs="Arial"/>
                <w:sz w:val="16"/>
                <w:szCs w:val="16"/>
              </w:rPr>
              <w:t>46.859,06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4DE3D" w14:textId="77777777" w:rsidR="00FE0C5A" w:rsidRDefault="000C18DB" w:rsidP="00F113BD">
            <w:pPr>
              <w:spacing w:after="0"/>
              <w:jc w:val="right"/>
              <w:rPr>
                <w:rFonts w:eastAsia="Times New Roman"/>
              </w:rPr>
            </w:pPr>
            <w:r>
              <w:rPr>
                <w:rFonts w:ascii="Arial" w:eastAsia="Times New Roman" w:hAnsi="Arial" w:cs="Arial"/>
                <w:sz w:val="16"/>
                <w:szCs w:val="16"/>
              </w:rPr>
              <w:t>65.191,71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EAB91"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8B89C" w14:textId="77777777" w:rsidR="00FE0C5A" w:rsidRDefault="000C18DB" w:rsidP="00F113BD">
            <w:pPr>
              <w:spacing w:after="0"/>
              <w:jc w:val="right"/>
              <w:rPr>
                <w:rFonts w:eastAsia="Times New Roman"/>
              </w:rPr>
            </w:pPr>
            <w:r>
              <w:rPr>
                <w:rFonts w:ascii="Arial" w:eastAsia="Times New Roman" w:hAnsi="Arial" w:cs="Arial"/>
                <w:sz w:val="16"/>
                <w:szCs w:val="16"/>
              </w:rPr>
              <w:t>65.191,71</w:t>
            </w:r>
          </w:p>
        </w:tc>
      </w:tr>
      <w:tr w:rsidR="00FE0C5A" w14:paraId="32CB4C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D21414" w14:textId="77777777" w:rsidR="00FE0C5A" w:rsidRDefault="000C18DB" w:rsidP="00F113BD">
            <w:pPr>
              <w:spacing w:after="0"/>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92AF8" w14:textId="77777777" w:rsidR="00FE0C5A" w:rsidRDefault="000C18DB" w:rsidP="00F113BD">
            <w:pPr>
              <w:spacing w:after="0"/>
              <w:jc w:val="right"/>
              <w:rPr>
                <w:rFonts w:eastAsia="Times New Roman"/>
              </w:rPr>
            </w:pPr>
            <w:r>
              <w:rPr>
                <w:rFonts w:ascii="Arial" w:eastAsia="Times New Roman" w:hAnsi="Arial" w:cs="Arial"/>
                <w:sz w:val="16"/>
                <w:szCs w:val="16"/>
              </w:rPr>
              <w:t>15.335,01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22E8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0DBD8" w14:textId="77777777" w:rsidR="00FE0C5A" w:rsidRDefault="000C18DB" w:rsidP="00F113BD">
            <w:pPr>
              <w:spacing w:after="0"/>
              <w:jc w:val="right"/>
              <w:rPr>
                <w:rFonts w:eastAsia="Times New Roman"/>
              </w:rPr>
            </w:pPr>
            <w:r>
              <w:rPr>
                <w:rFonts w:ascii="Arial" w:eastAsia="Times New Roman" w:hAnsi="Arial" w:cs="Arial"/>
                <w:sz w:val="16"/>
                <w:szCs w:val="16"/>
              </w:rPr>
              <w:t>15.335,01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EDACB" w14:textId="77777777" w:rsidR="00FE0C5A" w:rsidRDefault="000C18DB" w:rsidP="00F113BD">
            <w:pPr>
              <w:spacing w:after="0"/>
              <w:jc w:val="right"/>
              <w:rPr>
                <w:rFonts w:eastAsia="Times New Roman"/>
              </w:rPr>
            </w:pPr>
            <w:r>
              <w:rPr>
                <w:rFonts w:ascii="Arial" w:eastAsia="Times New Roman" w:hAnsi="Arial" w:cs="Arial"/>
                <w:sz w:val="16"/>
                <w:szCs w:val="16"/>
              </w:rPr>
              <w:t>14.698,89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C51B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8E87A" w14:textId="77777777" w:rsidR="00FE0C5A" w:rsidRDefault="000C18DB" w:rsidP="00F113BD">
            <w:pPr>
              <w:spacing w:after="0"/>
              <w:jc w:val="right"/>
              <w:rPr>
                <w:rFonts w:eastAsia="Times New Roman"/>
              </w:rPr>
            </w:pPr>
            <w:r>
              <w:rPr>
                <w:rFonts w:ascii="Arial" w:eastAsia="Times New Roman" w:hAnsi="Arial" w:cs="Arial"/>
                <w:sz w:val="16"/>
                <w:szCs w:val="16"/>
              </w:rPr>
              <w:t>14.698,89</w:t>
            </w:r>
          </w:p>
        </w:tc>
      </w:tr>
      <w:tr w:rsidR="00FE0C5A" w14:paraId="34FC74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508B22" w14:textId="77777777" w:rsidR="00FE0C5A" w:rsidRDefault="000C18DB" w:rsidP="00F113BD">
            <w:pPr>
              <w:spacing w:after="0"/>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670D0" w14:textId="77777777" w:rsidR="00FE0C5A" w:rsidRDefault="000C18DB" w:rsidP="00F113BD">
            <w:pPr>
              <w:spacing w:after="0"/>
              <w:jc w:val="right"/>
              <w:rPr>
                <w:rFonts w:eastAsia="Times New Roman"/>
              </w:rPr>
            </w:pPr>
            <w:r>
              <w:rPr>
                <w:rFonts w:ascii="Arial" w:eastAsia="Times New Roman" w:hAnsi="Arial" w:cs="Arial"/>
                <w:sz w:val="16"/>
                <w:szCs w:val="16"/>
              </w:rPr>
              <w:t>1.921,97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2D71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387F9" w14:textId="77777777" w:rsidR="00FE0C5A" w:rsidRDefault="000C18DB" w:rsidP="00F113BD">
            <w:pPr>
              <w:spacing w:after="0"/>
              <w:jc w:val="right"/>
              <w:rPr>
                <w:rFonts w:eastAsia="Times New Roman"/>
              </w:rPr>
            </w:pPr>
            <w:r>
              <w:rPr>
                <w:rFonts w:ascii="Arial" w:eastAsia="Times New Roman" w:hAnsi="Arial" w:cs="Arial"/>
                <w:sz w:val="16"/>
                <w:szCs w:val="16"/>
              </w:rPr>
              <w:t>1.921,97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4086A" w14:textId="77777777" w:rsidR="00FE0C5A" w:rsidRDefault="000C18DB" w:rsidP="00F113BD">
            <w:pPr>
              <w:spacing w:after="0"/>
              <w:jc w:val="right"/>
              <w:rPr>
                <w:rFonts w:eastAsia="Times New Roman"/>
              </w:rPr>
            </w:pPr>
            <w:r>
              <w:rPr>
                <w:rFonts w:ascii="Arial" w:eastAsia="Times New Roman" w:hAnsi="Arial" w:cs="Arial"/>
                <w:sz w:val="16"/>
                <w:szCs w:val="16"/>
              </w:rPr>
              <w:t>1.653,09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3A3C0"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DD40A" w14:textId="77777777" w:rsidR="00FE0C5A" w:rsidRDefault="000C18DB" w:rsidP="00F113BD">
            <w:pPr>
              <w:spacing w:after="0"/>
              <w:jc w:val="right"/>
              <w:rPr>
                <w:rFonts w:eastAsia="Times New Roman"/>
              </w:rPr>
            </w:pPr>
            <w:r>
              <w:rPr>
                <w:rFonts w:ascii="Arial" w:eastAsia="Times New Roman" w:hAnsi="Arial" w:cs="Arial"/>
                <w:sz w:val="16"/>
                <w:szCs w:val="16"/>
              </w:rPr>
              <w:t>1.653,09</w:t>
            </w:r>
          </w:p>
        </w:tc>
      </w:tr>
      <w:tr w:rsidR="00FE0C5A" w14:paraId="1F459C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1E7426" w14:textId="77777777" w:rsidR="00FE0C5A" w:rsidRDefault="000C18DB" w:rsidP="00F113BD">
            <w:pPr>
              <w:spacing w:after="0"/>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ABDA8" w14:textId="77777777" w:rsidR="00FE0C5A" w:rsidRDefault="000C18DB" w:rsidP="00F113BD">
            <w:pPr>
              <w:spacing w:after="0"/>
              <w:jc w:val="right"/>
              <w:rPr>
                <w:rFonts w:eastAsia="Times New Roman"/>
              </w:rPr>
            </w:pPr>
            <w:r>
              <w:rPr>
                <w:rFonts w:ascii="Arial" w:eastAsia="Times New Roman" w:hAnsi="Arial" w:cs="Arial"/>
                <w:sz w:val="16"/>
                <w:szCs w:val="16"/>
              </w:rPr>
              <w:t>11.968,60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AA66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F9FFA" w14:textId="77777777" w:rsidR="00FE0C5A" w:rsidRDefault="000C18DB" w:rsidP="00F113BD">
            <w:pPr>
              <w:spacing w:after="0"/>
              <w:jc w:val="right"/>
              <w:rPr>
                <w:rFonts w:eastAsia="Times New Roman"/>
              </w:rPr>
            </w:pPr>
            <w:r>
              <w:rPr>
                <w:rFonts w:ascii="Arial" w:eastAsia="Times New Roman" w:hAnsi="Arial" w:cs="Arial"/>
                <w:sz w:val="16"/>
                <w:szCs w:val="16"/>
              </w:rPr>
              <w:t>11.968,60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927BE" w14:textId="77777777" w:rsidR="00FE0C5A" w:rsidRDefault="000C18DB" w:rsidP="00F113BD">
            <w:pPr>
              <w:spacing w:after="0"/>
              <w:jc w:val="right"/>
              <w:rPr>
                <w:rFonts w:eastAsia="Times New Roman"/>
              </w:rPr>
            </w:pPr>
            <w:r>
              <w:rPr>
                <w:rFonts w:ascii="Arial" w:eastAsia="Times New Roman" w:hAnsi="Arial" w:cs="Arial"/>
                <w:sz w:val="16"/>
                <w:szCs w:val="16"/>
              </w:rPr>
              <w:t>10.684,20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6696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69C43" w14:textId="77777777" w:rsidR="00FE0C5A" w:rsidRDefault="000C18DB" w:rsidP="00F113BD">
            <w:pPr>
              <w:spacing w:after="0"/>
              <w:jc w:val="right"/>
              <w:rPr>
                <w:rFonts w:eastAsia="Times New Roman"/>
              </w:rPr>
            </w:pPr>
            <w:r>
              <w:rPr>
                <w:rFonts w:ascii="Arial" w:eastAsia="Times New Roman" w:hAnsi="Arial" w:cs="Arial"/>
                <w:sz w:val="16"/>
                <w:szCs w:val="16"/>
              </w:rPr>
              <w:t>10.684,20</w:t>
            </w:r>
          </w:p>
        </w:tc>
      </w:tr>
      <w:tr w:rsidR="00FE0C5A" w14:paraId="4EDBC6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87D190" w14:textId="77777777" w:rsidR="00FE0C5A" w:rsidRDefault="000C18DB" w:rsidP="00F113BD">
            <w:pPr>
              <w:spacing w:after="0"/>
              <w:rPr>
                <w:rFonts w:eastAsia="Times New Roman"/>
              </w:rPr>
            </w:pPr>
            <w:r>
              <w:rPr>
                <w:rFonts w:ascii="Arial" w:eastAsia="Times New Roman" w:hAnsi="Arial" w:cs="Arial"/>
                <w:sz w:val="16"/>
                <w:szCs w:val="16"/>
              </w:rPr>
              <w:t>IRRF sobre juros ao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F4F64" w14:textId="77777777" w:rsidR="00FE0C5A" w:rsidRDefault="000C18DB" w:rsidP="00F113BD">
            <w:pPr>
              <w:spacing w:after="0"/>
              <w:jc w:val="right"/>
              <w:rPr>
                <w:rFonts w:eastAsia="Times New Roman"/>
              </w:rPr>
            </w:pPr>
            <w:r>
              <w:rPr>
                <w:rFonts w:ascii="Arial" w:eastAsia="Times New Roman" w:hAnsi="Arial" w:cs="Arial"/>
                <w:sz w:val="16"/>
                <w:szCs w:val="16"/>
              </w:rPr>
              <w:t>10.597,57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56D2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8F8A9" w14:textId="77777777" w:rsidR="00FE0C5A" w:rsidRDefault="000C18DB" w:rsidP="00F113BD">
            <w:pPr>
              <w:spacing w:after="0"/>
              <w:jc w:val="right"/>
              <w:rPr>
                <w:rFonts w:eastAsia="Times New Roman"/>
              </w:rPr>
            </w:pPr>
            <w:r>
              <w:rPr>
                <w:rFonts w:ascii="Arial" w:eastAsia="Times New Roman" w:hAnsi="Arial" w:cs="Arial"/>
                <w:sz w:val="16"/>
                <w:szCs w:val="16"/>
              </w:rPr>
              <w:t>10.597,57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84B8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6559B"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EF3CD"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40DDF7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66A3AD"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211B1" w14:textId="77777777" w:rsidR="00FE0C5A" w:rsidRDefault="000C18DB" w:rsidP="00F113BD">
            <w:pPr>
              <w:spacing w:after="0"/>
              <w:jc w:val="right"/>
              <w:rPr>
                <w:rFonts w:eastAsia="Times New Roman"/>
              </w:rPr>
            </w:pPr>
            <w:r>
              <w:rPr>
                <w:rFonts w:ascii="Arial" w:eastAsia="Times New Roman" w:hAnsi="Arial" w:cs="Arial"/>
                <w:b/>
                <w:bCs/>
                <w:sz w:val="16"/>
                <w:szCs w:val="16"/>
              </w:rPr>
              <w:t>86.682,21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D9814"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01CDE" w14:textId="77777777" w:rsidR="00FE0C5A" w:rsidRDefault="000C18DB" w:rsidP="00F113BD">
            <w:pPr>
              <w:spacing w:after="0"/>
              <w:jc w:val="right"/>
              <w:rPr>
                <w:rFonts w:eastAsia="Times New Roman"/>
              </w:rPr>
            </w:pPr>
            <w:r>
              <w:rPr>
                <w:rFonts w:ascii="Arial" w:eastAsia="Times New Roman" w:hAnsi="Arial" w:cs="Arial"/>
                <w:b/>
                <w:bCs/>
                <w:sz w:val="16"/>
                <w:szCs w:val="16"/>
              </w:rPr>
              <w:t>86.682,21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0562C" w14:textId="77777777" w:rsidR="00FE0C5A" w:rsidRDefault="000C18DB" w:rsidP="00F113BD">
            <w:pPr>
              <w:spacing w:after="0"/>
              <w:jc w:val="right"/>
              <w:rPr>
                <w:rFonts w:eastAsia="Times New Roman"/>
              </w:rPr>
            </w:pPr>
            <w:r>
              <w:rPr>
                <w:rFonts w:ascii="Arial" w:eastAsia="Times New Roman" w:hAnsi="Arial" w:cs="Arial"/>
                <w:b/>
                <w:bCs/>
                <w:sz w:val="16"/>
                <w:szCs w:val="16"/>
              </w:rPr>
              <w:t>92.227,89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6DAE8"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8D91D" w14:textId="77777777" w:rsidR="00FE0C5A" w:rsidRDefault="000C18DB" w:rsidP="00F113BD">
            <w:pPr>
              <w:spacing w:after="0"/>
              <w:jc w:val="right"/>
              <w:rPr>
                <w:rFonts w:eastAsia="Times New Roman"/>
              </w:rPr>
            </w:pPr>
            <w:r>
              <w:rPr>
                <w:rFonts w:ascii="Arial" w:eastAsia="Times New Roman" w:hAnsi="Arial" w:cs="Arial"/>
                <w:b/>
                <w:bCs/>
                <w:sz w:val="16"/>
                <w:szCs w:val="16"/>
              </w:rPr>
              <w:t>92.227,89</w:t>
            </w:r>
          </w:p>
        </w:tc>
      </w:tr>
    </w:tbl>
    <w:p w14:paraId="4FA41C89" w14:textId="60292AA8" w:rsidR="00FE0C5A" w:rsidRDefault="00C17D14">
      <w:pPr>
        <w:pStyle w:val="NormalWeb"/>
      </w:pPr>
      <w:r>
        <w:rPr>
          <w:rFonts w:ascii="Arial" w:hAnsi="Arial" w:cs="Arial"/>
          <w:b/>
          <w:bCs/>
          <w:sz w:val="20"/>
          <w:szCs w:val="20"/>
        </w:rPr>
        <w:t>18. Outros Passivos</w:t>
      </w:r>
    </w:p>
    <w:p w14:paraId="65E7A549" w14:textId="77777777" w:rsidR="00FE0C5A" w:rsidRDefault="000C18DB">
      <w:pPr>
        <w:pStyle w:val="NormalWeb"/>
        <w:jc w:val="both"/>
      </w:pPr>
      <w:r>
        <w:rPr>
          <w:rFonts w:ascii="Arial" w:hAnsi="Arial" w:cs="Arial"/>
          <w:sz w:val="20"/>
          <w:szCs w:val="20"/>
        </w:rPr>
        <w:t xml:space="preserve">Em 31 de dezembro de 2023 e </w:t>
      </w:r>
      <w:r>
        <w:rPr>
          <w:rFonts w:ascii="Arial" w:hAnsi="Arial" w:cs="Arial"/>
          <w:sz w:val="20"/>
          <w:szCs w:val="20"/>
        </w:rPr>
        <w:t>2022, os saldos de outros passivos estão assim compostos:</w:t>
      </w:r>
    </w:p>
    <w:tbl>
      <w:tblPr>
        <w:tblW w:w="5000" w:type="pct"/>
        <w:tblCellMar>
          <w:left w:w="0" w:type="dxa"/>
          <w:right w:w="0" w:type="dxa"/>
        </w:tblCellMar>
        <w:tblLook w:val="04A0" w:firstRow="1" w:lastRow="0" w:firstColumn="1" w:lastColumn="0" w:noHBand="0" w:noVBand="1"/>
      </w:tblPr>
      <w:tblGrid>
        <w:gridCol w:w="3845"/>
        <w:gridCol w:w="959"/>
        <w:gridCol w:w="1155"/>
        <w:gridCol w:w="958"/>
        <w:gridCol w:w="958"/>
        <w:gridCol w:w="1155"/>
        <w:gridCol w:w="958"/>
      </w:tblGrid>
      <w:tr w:rsidR="00FE0C5A" w14:paraId="4C629EA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BCC27B"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E7D9DCF"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1BDFB9"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368C7CB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E6DAD28"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98C9B9"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F9128"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061EF"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9BC5C"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BC12F"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EDE8C"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2AF24A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999335" w14:textId="54150BCA" w:rsidR="00FE0C5A" w:rsidRDefault="000C18DB" w:rsidP="00F113BD">
            <w:pPr>
              <w:spacing w:after="0"/>
              <w:rPr>
                <w:rFonts w:eastAsia="Times New Roman"/>
              </w:rPr>
            </w:pPr>
            <w:r>
              <w:rPr>
                <w:rFonts w:ascii="Arial" w:eastAsia="Times New Roman" w:hAnsi="Arial" w:cs="Arial"/>
                <w:sz w:val="16"/>
                <w:szCs w:val="16"/>
              </w:rPr>
              <w:t>Sociais e Estatutárias</w:t>
            </w:r>
            <w:r w:rsidR="00C17D14">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13578" w14:textId="77777777" w:rsidR="00FE0C5A" w:rsidRDefault="000C18DB" w:rsidP="00F113BD">
            <w:pPr>
              <w:spacing w:after="0"/>
              <w:jc w:val="right"/>
              <w:rPr>
                <w:rFonts w:eastAsia="Times New Roman"/>
              </w:rPr>
            </w:pPr>
            <w:r>
              <w:rPr>
                <w:rFonts w:ascii="Arial" w:eastAsia="Times New Roman" w:hAnsi="Arial" w:cs="Arial"/>
                <w:sz w:val="16"/>
                <w:szCs w:val="16"/>
              </w:rPr>
              <w:t>1.831.082,97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CEE9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936CC" w14:textId="77777777" w:rsidR="00FE0C5A" w:rsidRDefault="000C18DB" w:rsidP="00F113BD">
            <w:pPr>
              <w:spacing w:after="0"/>
              <w:jc w:val="right"/>
              <w:rPr>
                <w:rFonts w:eastAsia="Times New Roman"/>
              </w:rPr>
            </w:pPr>
            <w:r>
              <w:rPr>
                <w:rFonts w:ascii="Arial" w:eastAsia="Times New Roman" w:hAnsi="Arial" w:cs="Arial"/>
                <w:sz w:val="16"/>
                <w:szCs w:val="16"/>
              </w:rPr>
              <w:t>1.831.082,97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80F33" w14:textId="77777777" w:rsidR="00FE0C5A" w:rsidRDefault="000C18DB" w:rsidP="00F113BD">
            <w:pPr>
              <w:spacing w:after="0"/>
              <w:jc w:val="right"/>
              <w:rPr>
                <w:rFonts w:eastAsia="Times New Roman"/>
              </w:rPr>
            </w:pPr>
            <w:r>
              <w:rPr>
                <w:rFonts w:ascii="Arial" w:eastAsia="Times New Roman" w:hAnsi="Arial" w:cs="Arial"/>
                <w:sz w:val="16"/>
                <w:szCs w:val="16"/>
              </w:rPr>
              <w:t>2.122.183,89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BB7E7"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AB805" w14:textId="77777777" w:rsidR="00FE0C5A" w:rsidRDefault="000C18DB" w:rsidP="00F113BD">
            <w:pPr>
              <w:spacing w:after="0"/>
              <w:jc w:val="right"/>
              <w:rPr>
                <w:rFonts w:eastAsia="Times New Roman"/>
              </w:rPr>
            </w:pPr>
            <w:r>
              <w:rPr>
                <w:rFonts w:ascii="Arial" w:eastAsia="Times New Roman" w:hAnsi="Arial" w:cs="Arial"/>
                <w:sz w:val="16"/>
                <w:szCs w:val="16"/>
              </w:rPr>
              <w:t>2.122.183,89</w:t>
            </w:r>
          </w:p>
        </w:tc>
      </w:tr>
      <w:tr w:rsidR="00FE0C5A" w14:paraId="6836E9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2255B5" w14:textId="77777777" w:rsidR="00FE0C5A" w:rsidRDefault="000C18DB" w:rsidP="00F113BD">
            <w:pPr>
              <w:spacing w:after="0"/>
              <w:rPr>
                <w:rFonts w:eastAsia="Times New Roman"/>
              </w:rPr>
            </w:pPr>
            <w:r>
              <w:rPr>
                <w:rFonts w:ascii="Arial" w:eastAsia="Times New Roman" w:hAnsi="Arial" w:cs="Arial"/>
                <w:sz w:val="16"/>
                <w:szCs w:val="16"/>
              </w:rPr>
              <w:t xml:space="preserve">Cheques </w:t>
            </w:r>
            <w:r>
              <w:rPr>
                <w:rFonts w:ascii="Arial" w:eastAsia="Times New Roman" w:hAnsi="Arial" w:cs="Arial"/>
                <w:sz w:val="16"/>
                <w:szCs w:val="16"/>
              </w:rPr>
              <w:t>Administrativos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EBA1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6B2F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C16A7"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DE09C" w14:textId="77777777" w:rsidR="00FE0C5A" w:rsidRDefault="000C18DB" w:rsidP="00F113BD">
            <w:pPr>
              <w:spacing w:after="0"/>
              <w:jc w:val="right"/>
              <w:rPr>
                <w:rFonts w:eastAsia="Times New Roman"/>
              </w:rPr>
            </w:pPr>
            <w:r>
              <w:rPr>
                <w:rFonts w:ascii="Arial" w:eastAsia="Times New Roman" w:hAnsi="Arial" w:cs="Arial"/>
                <w:sz w:val="16"/>
                <w:szCs w:val="16"/>
              </w:rPr>
              <w:t>25.261,33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E6F4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FCFE3" w14:textId="77777777" w:rsidR="00FE0C5A" w:rsidRDefault="000C18DB" w:rsidP="00F113BD">
            <w:pPr>
              <w:spacing w:after="0"/>
              <w:jc w:val="right"/>
              <w:rPr>
                <w:rFonts w:eastAsia="Times New Roman"/>
              </w:rPr>
            </w:pPr>
            <w:r>
              <w:rPr>
                <w:rFonts w:ascii="Arial" w:eastAsia="Times New Roman" w:hAnsi="Arial" w:cs="Arial"/>
                <w:sz w:val="16"/>
                <w:szCs w:val="16"/>
              </w:rPr>
              <w:t>25.261,33</w:t>
            </w:r>
          </w:p>
        </w:tc>
      </w:tr>
      <w:tr w:rsidR="00FE0C5A" w14:paraId="56844C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B7B309" w14:textId="75803A58" w:rsidR="00FE0C5A" w:rsidRDefault="000C18DB" w:rsidP="00F113BD">
            <w:pPr>
              <w:spacing w:after="0"/>
              <w:rPr>
                <w:rFonts w:eastAsia="Times New Roman"/>
              </w:rPr>
            </w:pPr>
            <w:r>
              <w:rPr>
                <w:rFonts w:ascii="Arial" w:eastAsia="Times New Roman" w:hAnsi="Arial" w:cs="Arial"/>
                <w:sz w:val="16"/>
                <w:szCs w:val="16"/>
              </w:rPr>
              <w:t>Obrigações de Pagamento em Nome de Terceiros</w:t>
            </w:r>
            <w:r w:rsidR="00C17D14">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26A1" w14:textId="77777777" w:rsidR="00FE0C5A" w:rsidRDefault="000C18DB" w:rsidP="00F113BD">
            <w:pPr>
              <w:spacing w:after="0"/>
              <w:jc w:val="right"/>
              <w:rPr>
                <w:rFonts w:eastAsia="Times New Roman"/>
              </w:rPr>
            </w:pPr>
            <w:r>
              <w:rPr>
                <w:rFonts w:ascii="Arial" w:eastAsia="Times New Roman" w:hAnsi="Arial" w:cs="Arial"/>
                <w:sz w:val="16"/>
                <w:szCs w:val="16"/>
              </w:rPr>
              <w:t>668.722,20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2B779"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54D49" w14:textId="77777777" w:rsidR="00FE0C5A" w:rsidRDefault="000C18DB" w:rsidP="00F113BD">
            <w:pPr>
              <w:spacing w:after="0"/>
              <w:jc w:val="right"/>
              <w:rPr>
                <w:rFonts w:eastAsia="Times New Roman"/>
              </w:rPr>
            </w:pPr>
            <w:r>
              <w:rPr>
                <w:rFonts w:ascii="Arial" w:eastAsia="Times New Roman" w:hAnsi="Arial" w:cs="Arial"/>
                <w:sz w:val="16"/>
                <w:szCs w:val="16"/>
              </w:rPr>
              <w:t>668.722,20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2C96E" w14:textId="77777777" w:rsidR="00FE0C5A" w:rsidRDefault="000C18DB" w:rsidP="00F113BD">
            <w:pPr>
              <w:spacing w:after="0"/>
              <w:jc w:val="right"/>
              <w:rPr>
                <w:rFonts w:eastAsia="Times New Roman"/>
              </w:rPr>
            </w:pPr>
            <w:r>
              <w:rPr>
                <w:rFonts w:ascii="Arial" w:eastAsia="Times New Roman" w:hAnsi="Arial" w:cs="Arial"/>
                <w:sz w:val="16"/>
                <w:szCs w:val="16"/>
              </w:rPr>
              <w:t>691.780,07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6479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65D40" w14:textId="77777777" w:rsidR="00FE0C5A" w:rsidRDefault="000C18DB" w:rsidP="00F113BD">
            <w:pPr>
              <w:spacing w:after="0"/>
              <w:jc w:val="right"/>
              <w:rPr>
                <w:rFonts w:eastAsia="Times New Roman"/>
              </w:rPr>
            </w:pPr>
            <w:r>
              <w:rPr>
                <w:rFonts w:ascii="Arial" w:eastAsia="Times New Roman" w:hAnsi="Arial" w:cs="Arial"/>
                <w:sz w:val="16"/>
                <w:szCs w:val="16"/>
              </w:rPr>
              <w:t>691.780,07</w:t>
            </w:r>
          </w:p>
        </w:tc>
      </w:tr>
      <w:tr w:rsidR="00FE0C5A" w14:paraId="160367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83F5B3" w14:textId="41F408FA" w:rsidR="00FE0C5A" w:rsidRDefault="000C18DB" w:rsidP="00F113BD">
            <w:pPr>
              <w:spacing w:after="0"/>
              <w:rPr>
                <w:rFonts w:eastAsia="Times New Roman"/>
              </w:rPr>
            </w:pPr>
            <w:r>
              <w:rPr>
                <w:rFonts w:ascii="Arial" w:eastAsia="Times New Roman" w:hAnsi="Arial" w:cs="Arial"/>
                <w:sz w:val="16"/>
                <w:szCs w:val="16"/>
              </w:rPr>
              <w:t>Provisão Para Pagamentos a Efetuar</w:t>
            </w:r>
            <w:r w:rsidR="00C17D14">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58C99" w14:textId="77777777" w:rsidR="00FE0C5A" w:rsidRDefault="000C18DB" w:rsidP="00F113BD">
            <w:pPr>
              <w:spacing w:after="0"/>
              <w:jc w:val="right"/>
              <w:rPr>
                <w:rFonts w:eastAsia="Times New Roman"/>
              </w:rPr>
            </w:pPr>
            <w:r>
              <w:rPr>
                <w:rFonts w:ascii="Arial" w:eastAsia="Times New Roman" w:hAnsi="Arial" w:cs="Arial"/>
                <w:sz w:val="16"/>
                <w:szCs w:val="16"/>
              </w:rPr>
              <w:t>1.771.315,81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FA8B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94EB9" w14:textId="77777777" w:rsidR="00FE0C5A" w:rsidRDefault="000C18DB" w:rsidP="00F113BD">
            <w:pPr>
              <w:spacing w:after="0"/>
              <w:jc w:val="right"/>
              <w:rPr>
                <w:rFonts w:eastAsia="Times New Roman"/>
              </w:rPr>
            </w:pPr>
            <w:r>
              <w:rPr>
                <w:rFonts w:ascii="Arial" w:eastAsia="Times New Roman" w:hAnsi="Arial" w:cs="Arial"/>
                <w:sz w:val="16"/>
                <w:szCs w:val="16"/>
              </w:rPr>
              <w:t>1.771.315,81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DF6E9" w14:textId="77777777" w:rsidR="00FE0C5A" w:rsidRDefault="000C18DB" w:rsidP="00F113BD">
            <w:pPr>
              <w:spacing w:after="0"/>
              <w:jc w:val="right"/>
              <w:rPr>
                <w:rFonts w:eastAsia="Times New Roman"/>
              </w:rPr>
            </w:pPr>
            <w:r>
              <w:rPr>
                <w:rFonts w:ascii="Arial" w:eastAsia="Times New Roman" w:hAnsi="Arial" w:cs="Arial"/>
                <w:sz w:val="16"/>
                <w:szCs w:val="16"/>
              </w:rPr>
              <w:t>1.284.039,55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6169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CB548" w14:textId="77777777" w:rsidR="00FE0C5A" w:rsidRDefault="000C18DB" w:rsidP="00F113BD">
            <w:pPr>
              <w:spacing w:after="0"/>
              <w:jc w:val="right"/>
              <w:rPr>
                <w:rFonts w:eastAsia="Times New Roman"/>
              </w:rPr>
            </w:pPr>
            <w:r>
              <w:rPr>
                <w:rFonts w:ascii="Arial" w:eastAsia="Times New Roman" w:hAnsi="Arial" w:cs="Arial"/>
                <w:sz w:val="16"/>
                <w:szCs w:val="16"/>
              </w:rPr>
              <w:t>1.284.039,55</w:t>
            </w:r>
          </w:p>
        </w:tc>
      </w:tr>
      <w:tr w:rsidR="00FE0C5A" w14:paraId="75BEDB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AAF7C9" w14:textId="6B6A074A" w:rsidR="00FE0C5A" w:rsidRDefault="000C18DB" w:rsidP="00F113BD">
            <w:pPr>
              <w:spacing w:after="0"/>
              <w:rPr>
                <w:rFonts w:eastAsia="Times New Roman"/>
              </w:rPr>
            </w:pPr>
            <w:r>
              <w:rPr>
                <w:rFonts w:ascii="Arial" w:eastAsia="Times New Roman" w:hAnsi="Arial" w:cs="Arial"/>
                <w:sz w:val="16"/>
                <w:szCs w:val="16"/>
              </w:rPr>
              <w:t xml:space="preserve">Credores Diversos </w:t>
            </w:r>
            <w:r w:rsidR="00C17D14">
              <w:rPr>
                <w:rFonts w:ascii="Arial" w:eastAsia="Times New Roman" w:hAnsi="Arial" w:cs="Arial"/>
                <w:sz w:val="16"/>
                <w:szCs w:val="16"/>
              </w:rPr>
              <w:t>–</w:t>
            </w:r>
            <w:r>
              <w:rPr>
                <w:rFonts w:ascii="Arial" w:eastAsia="Times New Roman" w:hAnsi="Arial" w:cs="Arial"/>
                <w:sz w:val="16"/>
                <w:szCs w:val="16"/>
              </w:rPr>
              <w:t xml:space="preserve"> País</w:t>
            </w:r>
            <w:r w:rsidR="00C17D14">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09644" w14:textId="77777777" w:rsidR="00FE0C5A" w:rsidRDefault="000C18DB" w:rsidP="00F113BD">
            <w:pPr>
              <w:spacing w:after="0"/>
              <w:jc w:val="right"/>
              <w:rPr>
                <w:rFonts w:eastAsia="Times New Roman"/>
              </w:rPr>
            </w:pPr>
            <w:r>
              <w:rPr>
                <w:rFonts w:ascii="Arial" w:eastAsia="Times New Roman" w:hAnsi="Arial" w:cs="Arial"/>
                <w:sz w:val="16"/>
                <w:szCs w:val="16"/>
              </w:rPr>
              <w:t>410.108,11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163A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9CDCB" w14:textId="77777777" w:rsidR="00FE0C5A" w:rsidRDefault="000C18DB" w:rsidP="00F113BD">
            <w:pPr>
              <w:spacing w:after="0"/>
              <w:jc w:val="right"/>
              <w:rPr>
                <w:rFonts w:eastAsia="Times New Roman"/>
              </w:rPr>
            </w:pPr>
            <w:r>
              <w:rPr>
                <w:rFonts w:ascii="Arial" w:eastAsia="Times New Roman" w:hAnsi="Arial" w:cs="Arial"/>
                <w:sz w:val="16"/>
                <w:szCs w:val="16"/>
              </w:rPr>
              <w:t>410.108,11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8DECF" w14:textId="77777777" w:rsidR="00FE0C5A" w:rsidRDefault="000C18DB" w:rsidP="00F113BD">
            <w:pPr>
              <w:spacing w:after="0"/>
              <w:jc w:val="right"/>
              <w:rPr>
                <w:rFonts w:eastAsia="Times New Roman"/>
              </w:rPr>
            </w:pPr>
            <w:r>
              <w:rPr>
                <w:rFonts w:ascii="Arial" w:eastAsia="Times New Roman" w:hAnsi="Arial" w:cs="Arial"/>
                <w:sz w:val="16"/>
                <w:szCs w:val="16"/>
              </w:rPr>
              <w:t>246.499,35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85A8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6CBA2" w14:textId="77777777" w:rsidR="00FE0C5A" w:rsidRDefault="000C18DB" w:rsidP="00F113BD">
            <w:pPr>
              <w:spacing w:after="0"/>
              <w:jc w:val="right"/>
              <w:rPr>
                <w:rFonts w:eastAsia="Times New Roman"/>
              </w:rPr>
            </w:pPr>
            <w:r>
              <w:rPr>
                <w:rFonts w:ascii="Arial" w:eastAsia="Times New Roman" w:hAnsi="Arial" w:cs="Arial"/>
                <w:sz w:val="16"/>
                <w:szCs w:val="16"/>
              </w:rPr>
              <w:t>246.499,35</w:t>
            </w:r>
          </w:p>
        </w:tc>
      </w:tr>
      <w:tr w:rsidR="00FE0C5A" w14:paraId="2EA713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0001D4"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2EFB8" w14:textId="77777777" w:rsidR="00FE0C5A" w:rsidRDefault="000C18DB" w:rsidP="00F113BD">
            <w:pPr>
              <w:spacing w:after="0"/>
              <w:jc w:val="right"/>
              <w:rPr>
                <w:rFonts w:eastAsia="Times New Roman"/>
              </w:rPr>
            </w:pPr>
            <w:r>
              <w:rPr>
                <w:rFonts w:ascii="Arial" w:eastAsia="Times New Roman" w:hAnsi="Arial" w:cs="Arial"/>
                <w:b/>
                <w:bCs/>
                <w:sz w:val="16"/>
                <w:szCs w:val="16"/>
              </w:rPr>
              <w:t>4.681.229,09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3272F"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2F88A" w14:textId="77777777" w:rsidR="00FE0C5A" w:rsidRDefault="000C18DB" w:rsidP="00F113BD">
            <w:pPr>
              <w:spacing w:after="0"/>
              <w:jc w:val="right"/>
              <w:rPr>
                <w:rFonts w:eastAsia="Times New Roman"/>
              </w:rPr>
            </w:pPr>
            <w:r>
              <w:rPr>
                <w:rFonts w:ascii="Arial" w:eastAsia="Times New Roman" w:hAnsi="Arial" w:cs="Arial"/>
                <w:b/>
                <w:bCs/>
                <w:sz w:val="16"/>
                <w:szCs w:val="16"/>
              </w:rPr>
              <w:t>4.681.229,09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57E08" w14:textId="77777777" w:rsidR="00FE0C5A" w:rsidRDefault="000C18DB" w:rsidP="00F113BD">
            <w:pPr>
              <w:spacing w:after="0"/>
              <w:jc w:val="right"/>
              <w:rPr>
                <w:rFonts w:eastAsia="Times New Roman"/>
              </w:rPr>
            </w:pPr>
            <w:r>
              <w:rPr>
                <w:rFonts w:ascii="Arial" w:eastAsia="Times New Roman" w:hAnsi="Arial" w:cs="Arial"/>
                <w:b/>
                <w:bCs/>
                <w:sz w:val="16"/>
                <w:szCs w:val="16"/>
              </w:rPr>
              <w:t>4.369.764,19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0BFB8"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7B2E6" w14:textId="77777777" w:rsidR="00FE0C5A" w:rsidRDefault="000C18DB" w:rsidP="00F113BD">
            <w:pPr>
              <w:spacing w:after="0"/>
              <w:jc w:val="right"/>
              <w:rPr>
                <w:rFonts w:eastAsia="Times New Roman"/>
              </w:rPr>
            </w:pPr>
            <w:r>
              <w:rPr>
                <w:rFonts w:ascii="Arial" w:eastAsia="Times New Roman" w:hAnsi="Arial" w:cs="Arial"/>
                <w:b/>
                <w:bCs/>
                <w:sz w:val="16"/>
                <w:szCs w:val="16"/>
              </w:rPr>
              <w:t>4.369.764,19</w:t>
            </w:r>
          </w:p>
        </w:tc>
      </w:tr>
    </w:tbl>
    <w:p w14:paraId="5AFA674D" w14:textId="77777777" w:rsidR="00FE0C5A" w:rsidRDefault="000C18DB">
      <w:pPr>
        <w:pStyle w:val="NormalWeb"/>
        <w:jc w:val="both"/>
      </w:pPr>
      <w:r>
        <w:rPr>
          <w:rFonts w:ascii="Arial" w:hAnsi="Arial" w:cs="Arial"/>
          <w:sz w:val="20"/>
          <w:szCs w:val="20"/>
        </w:rPr>
        <w:t xml:space="preserve">(a) A seguir, a composição do saldo de passivos sociais e estatutárias, e os respectivos </w:t>
      </w:r>
      <w:r>
        <w:rPr>
          <w:rFonts w:ascii="Arial" w:hAnsi="Arial" w:cs="Arial"/>
          <w:sz w:val="20"/>
          <w:szCs w:val="20"/>
        </w:rPr>
        <w:t>detalhamentos:</w:t>
      </w:r>
    </w:p>
    <w:tbl>
      <w:tblPr>
        <w:tblW w:w="5000" w:type="pct"/>
        <w:tblCellMar>
          <w:left w:w="0" w:type="dxa"/>
          <w:right w:w="0" w:type="dxa"/>
        </w:tblCellMar>
        <w:tblLook w:val="04A0" w:firstRow="1" w:lastRow="0" w:firstColumn="1" w:lastColumn="0" w:noHBand="0" w:noVBand="1"/>
      </w:tblPr>
      <w:tblGrid>
        <w:gridCol w:w="4026"/>
        <w:gridCol w:w="950"/>
        <w:gridCol w:w="1081"/>
        <w:gridCol w:w="950"/>
        <w:gridCol w:w="950"/>
        <w:gridCol w:w="1081"/>
        <w:gridCol w:w="950"/>
      </w:tblGrid>
      <w:tr w:rsidR="00FE0C5A" w14:paraId="171B992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59DBEC"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956DC9A"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59E10D"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1D8551B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8CF1016"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8E831"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09597"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78A02"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66BDB"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49797"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825F8"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0470A0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9CC348" w14:textId="5A459A06" w:rsidR="00FE0C5A" w:rsidRDefault="000C18DB" w:rsidP="00F113BD">
            <w:pPr>
              <w:spacing w:after="0"/>
              <w:rPr>
                <w:rFonts w:eastAsia="Times New Roman"/>
              </w:rPr>
            </w:pPr>
            <w:r>
              <w:rPr>
                <w:rFonts w:ascii="Arial" w:eastAsia="Times New Roman" w:hAnsi="Arial" w:cs="Arial"/>
                <w:sz w:val="16"/>
                <w:szCs w:val="16"/>
              </w:rPr>
              <w:t>Provisão para Participações nos Resultados</w:t>
            </w:r>
            <w:r w:rsidR="00C17D14">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C66E9" w14:textId="77777777" w:rsidR="00FE0C5A" w:rsidRDefault="000C18DB" w:rsidP="00F113BD">
            <w:pPr>
              <w:spacing w:after="0"/>
              <w:jc w:val="right"/>
              <w:rPr>
                <w:rFonts w:eastAsia="Times New Roman"/>
              </w:rPr>
            </w:pPr>
            <w:r>
              <w:rPr>
                <w:rFonts w:ascii="Arial" w:eastAsia="Times New Roman" w:hAnsi="Arial" w:cs="Arial"/>
                <w:sz w:val="16"/>
                <w:szCs w:val="16"/>
              </w:rPr>
              <w:t>398.800,00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4FCF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9878B" w14:textId="77777777" w:rsidR="00FE0C5A" w:rsidRDefault="000C18DB" w:rsidP="00F113BD">
            <w:pPr>
              <w:spacing w:after="0"/>
              <w:jc w:val="right"/>
              <w:rPr>
                <w:rFonts w:eastAsia="Times New Roman"/>
              </w:rPr>
            </w:pPr>
            <w:r>
              <w:rPr>
                <w:rFonts w:ascii="Arial" w:eastAsia="Times New Roman" w:hAnsi="Arial" w:cs="Arial"/>
                <w:sz w:val="16"/>
                <w:szCs w:val="16"/>
              </w:rPr>
              <w:t>398.800,00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1A3FA" w14:textId="77777777" w:rsidR="00FE0C5A" w:rsidRDefault="000C18DB" w:rsidP="00F113BD">
            <w:pPr>
              <w:spacing w:after="0"/>
              <w:jc w:val="right"/>
              <w:rPr>
                <w:rFonts w:eastAsia="Times New Roman"/>
              </w:rPr>
            </w:pPr>
            <w:r>
              <w:rPr>
                <w:rFonts w:ascii="Arial" w:eastAsia="Times New Roman" w:hAnsi="Arial" w:cs="Arial"/>
                <w:sz w:val="16"/>
                <w:szCs w:val="16"/>
              </w:rPr>
              <w:t>360.000,00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CAEC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9ACA2" w14:textId="77777777" w:rsidR="00FE0C5A" w:rsidRDefault="000C18DB" w:rsidP="00F113BD">
            <w:pPr>
              <w:spacing w:after="0"/>
              <w:jc w:val="right"/>
              <w:rPr>
                <w:rFonts w:eastAsia="Times New Roman"/>
              </w:rPr>
            </w:pPr>
            <w:r>
              <w:rPr>
                <w:rFonts w:ascii="Arial" w:eastAsia="Times New Roman" w:hAnsi="Arial" w:cs="Arial"/>
                <w:sz w:val="16"/>
                <w:szCs w:val="16"/>
              </w:rPr>
              <w:t>360.000,00</w:t>
            </w:r>
          </w:p>
        </w:tc>
      </w:tr>
      <w:tr w:rsidR="00FE0C5A" w14:paraId="6A1D51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C4DDA2" w14:textId="77777777" w:rsidR="00FE0C5A" w:rsidRDefault="000C18DB" w:rsidP="00F113BD">
            <w:pPr>
              <w:spacing w:after="0"/>
              <w:rPr>
                <w:rFonts w:eastAsia="Times New Roman"/>
              </w:rPr>
            </w:pPr>
            <w:r>
              <w:rPr>
                <w:rFonts w:ascii="Arial" w:eastAsia="Times New Roman" w:hAnsi="Arial" w:cs="Arial"/>
                <w:sz w:val="16"/>
                <w:szCs w:val="16"/>
              </w:rPr>
              <w:t>Sobras Liquidas a Distribuir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7857D" w14:textId="77777777" w:rsidR="00FE0C5A" w:rsidRDefault="000C18DB" w:rsidP="00F113BD">
            <w:pPr>
              <w:spacing w:after="0"/>
              <w:jc w:val="right"/>
              <w:rPr>
                <w:rFonts w:eastAsia="Times New Roman"/>
              </w:rPr>
            </w:pPr>
            <w:r>
              <w:rPr>
                <w:rFonts w:ascii="Arial" w:eastAsia="Times New Roman" w:hAnsi="Arial" w:cs="Arial"/>
                <w:sz w:val="16"/>
                <w:szCs w:val="16"/>
              </w:rPr>
              <w:t>588,67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8ED2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E6B19" w14:textId="77777777" w:rsidR="00FE0C5A" w:rsidRDefault="000C18DB" w:rsidP="00F113BD">
            <w:pPr>
              <w:spacing w:after="0"/>
              <w:jc w:val="right"/>
              <w:rPr>
                <w:rFonts w:eastAsia="Times New Roman"/>
              </w:rPr>
            </w:pPr>
            <w:r>
              <w:rPr>
                <w:rFonts w:ascii="Arial" w:eastAsia="Times New Roman" w:hAnsi="Arial" w:cs="Arial"/>
                <w:sz w:val="16"/>
                <w:szCs w:val="16"/>
              </w:rPr>
              <w:t>588,67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F8302" w14:textId="77777777" w:rsidR="00FE0C5A" w:rsidRDefault="000C18DB" w:rsidP="00F113BD">
            <w:pPr>
              <w:spacing w:after="0"/>
              <w:jc w:val="right"/>
              <w:rPr>
                <w:rFonts w:eastAsia="Times New Roman"/>
              </w:rPr>
            </w:pPr>
            <w:r>
              <w:rPr>
                <w:rFonts w:ascii="Arial" w:eastAsia="Times New Roman" w:hAnsi="Arial" w:cs="Arial"/>
                <w:sz w:val="16"/>
                <w:szCs w:val="16"/>
              </w:rPr>
              <w:t>342,58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1D74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C28FE" w14:textId="77777777" w:rsidR="00FE0C5A" w:rsidRDefault="000C18DB" w:rsidP="00F113BD">
            <w:pPr>
              <w:spacing w:after="0"/>
              <w:jc w:val="right"/>
              <w:rPr>
                <w:rFonts w:eastAsia="Times New Roman"/>
              </w:rPr>
            </w:pPr>
            <w:r>
              <w:rPr>
                <w:rFonts w:ascii="Arial" w:eastAsia="Times New Roman" w:hAnsi="Arial" w:cs="Arial"/>
                <w:sz w:val="16"/>
                <w:szCs w:val="16"/>
              </w:rPr>
              <w:t>342,58</w:t>
            </w:r>
          </w:p>
        </w:tc>
      </w:tr>
      <w:tr w:rsidR="00FE0C5A" w14:paraId="5D814C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C1ACFC" w14:textId="265AF48C" w:rsidR="00FE0C5A" w:rsidRDefault="000C18DB" w:rsidP="00F113BD">
            <w:pPr>
              <w:spacing w:after="0"/>
              <w:rPr>
                <w:rFonts w:eastAsia="Times New Roman"/>
              </w:rPr>
            </w:pPr>
            <w:r>
              <w:rPr>
                <w:rFonts w:ascii="Arial" w:eastAsia="Times New Roman" w:hAnsi="Arial" w:cs="Arial"/>
                <w:sz w:val="16"/>
                <w:szCs w:val="16"/>
              </w:rPr>
              <w:t>Cotas de Capital a Pagar</w:t>
            </w:r>
            <w:r w:rsidR="00C17D14">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5F8A4" w14:textId="77777777" w:rsidR="00FE0C5A" w:rsidRDefault="000C18DB" w:rsidP="00F113BD">
            <w:pPr>
              <w:spacing w:after="0"/>
              <w:jc w:val="right"/>
              <w:rPr>
                <w:rFonts w:eastAsia="Times New Roman"/>
              </w:rPr>
            </w:pPr>
            <w:r>
              <w:rPr>
                <w:rFonts w:ascii="Arial" w:eastAsia="Times New Roman" w:hAnsi="Arial" w:cs="Arial"/>
                <w:sz w:val="16"/>
                <w:szCs w:val="16"/>
              </w:rPr>
              <w:t>859.643,69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0952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6E763" w14:textId="77777777" w:rsidR="00FE0C5A" w:rsidRDefault="000C18DB" w:rsidP="00F113BD">
            <w:pPr>
              <w:spacing w:after="0"/>
              <w:jc w:val="right"/>
              <w:rPr>
                <w:rFonts w:eastAsia="Times New Roman"/>
              </w:rPr>
            </w:pPr>
            <w:r>
              <w:rPr>
                <w:rFonts w:ascii="Arial" w:eastAsia="Times New Roman" w:hAnsi="Arial" w:cs="Arial"/>
                <w:sz w:val="16"/>
                <w:szCs w:val="16"/>
              </w:rPr>
              <w:t>859.643,69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7A23A" w14:textId="77777777" w:rsidR="00FE0C5A" w:rsidRDefault="000C18DB" w:rsidP="00F113BD">
            <w:pPr>
              <w:spacing w:after="0"/>
              <w:jc w:val="right"/>
              <w:rPr>
                <w:rFonts w:eastAsia="Times New Roman"/>
              </w:rPr>
            </w:pPr>
            <w:r>
              <w:rPr>
                <w:rFonts w:ascii="Arial" w:eastAsia="Times New Roman" w:hAnsi="Arial" w:cs="Arial"/>
                <w:sz w:val="16"/>
                <w:szCs w:val="16"/>
              </w:rPr>
              <w:t>505.863,88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735B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421CC" w14:textId="77777777" w:rsidR="00FE0C5A" w:rsidRDefault="000C18DB" w:rsidP="00F113BD">
            <w:pPr>
              <w:spacing w:after="0"/>
              <w:jc w:val="right"/>
              <w:rPr>
                <w:rFonts w:eastAsia="Times New Roman"/>
              </w:rPr>
            </w:pPr>
            <w:r>
              <w:rPr>
                <w:rFonts w:ascii="Arial" w:eastAsia="Times New Roman" w:hAnsi="Arial" w:cs="Arial"/>
                <w:sz w:val="16"/>
                <w:szCs w:val="16"/>
              </w:rPr>
              <w:t>505.863,88</w:t>
            </w:r>
          </w:p>
        </w:tc>
      </w:tr>
      <w:tr w:rsidR="00FE0C5A" w14:paraId="0E735C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67F8BB" w14:textId="31811F42" w:rsidR="00FE0C5A" w:rsidRDefault="000C18DB" w:rsidP="00F113BD">
            <w:pPr>
              <w:spacing w:after="0"/>
              <w:rPr>
                <w:rFonts w:eastAsia="Times New Roman"/>
              </w:rPr>
            </w:pPr>
            <w:r>
              <w:rPr>
                <w:rFonts w:ascii="Arial" w:eastAsia="Times New Roman" w:hAnsi="Arial" w:cs="Arial"/>
                <w:sz w:val="16"/>
                <w:szCs w:val="16"/>
              </w:rPr>
              <w:t>FATES - Fundo de Assistência Técnica, Educacional e Social</w:t>
            </w:r>
            <w:r w:rsidR="00C17D14">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DF898" w14:textId="77777777" w:rsidR="00FE0C5A" w:rsidRDefault="000C18DB" w:rsidP="00F113BD">
            <w:pPr>
              <w:spacing w:after="0"/>
              <w:jc w:val="right"/>
              <w:rPr>
                <w:rFonts w:eastAsia="Times New Roman"/>
              </w:rPr>
            </w:pPr>
            <w:r>
              <w:rPr>
                <w:rFonts w:ascii="Arial" w:eastAsia="Times New Roman" w:hAnsi="Arial" w:cs="Arial"/>
                <w:sz w:val="16"/>
                <w:szCs w:val="16"/>
              </w:rPr>
              <w:t>572.050,61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6D72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9D221" w14:textId="77777777" w:rsidR="00FE0C5A" w:rsidRDefault="000C18DB" w:rsidP="00F113BD">
            <w:pPr>
              <w:spacing w:after="0"/>
              <w:jc w:val="right"/>
              <w:rPr>
                <w:rFonts w:eastAsia="Times New Roman"/>
              </w:rPr>
            </w:pPr>
            <w:r>
              <w:rPr>
                <w:rFonts w:ascii="Arial" w:eastAsia="Times New Roman" w:hAnsi="Arial" w:cs="Arial"/>
                <w:sz w:val="16"/>
                <w:szCs w:val="16"/>
              </w:rPr>
              <w:t>572.050,61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F34B2" w14:textId="77777777" w:rsidR="00FE0C5A" w:rsidRDefault="000C18DB" w:rsidP="00F113BD">
            <w:pPr>
              <w:spacing w:after="0"/>
              <w:jc w:val="right"/>
              <w:rPr>
                <w:rFonts w:eastAsia="Times New Roman"/>
              </w:rPr>
            </w:pPr>
            <w:r>
              <w:rPr>
                <w:rFonts w:ascii="Arial" w:eastAsia="Times New Roman" w:hAnsi="Arial" w:cs="Arial"/>
                <w:sz w:val="16"/>
                <w:szCs w:val="16"/>
              </w:rPr>
              <w:t>1.255.977,43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5826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89F49" w14:textId="77777777" w:rsidR="00FE0C5A" w:rsidRDefault="000C18DB" w:rsidP="00F113BD">
            <w:pPr>
              <w:spacing w:after="0"/>
              <w:jc w:val="right"/>
              <w:rPr>
                <w:rFonts w:eastAsia="Times New Roman"/>
              </w:rPr>
            </w:pPr>
            <w:r>
              <w:rPr>
                <w:rFonts w:ascii="Arial" w:eastAsia="Times New Roman" w:hAnsi="Arial" w:cs="Arial"/>
                <w:sz w:val="16"/>
                <w:szCs w:val="16"/>
              </w:rPr>
              <w:t>1.255.977,43</w:t>
            </w:r>
          </w:p>
        </w:tc>
      </w:tr>
      <w:tr w:rsidR="00FE0C5A" w14:paraId="686CAE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A808CD"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6933A" w14:textId="77777777" w:rsidR="00FE0C5A" w:rsidRDefault="000C18DB" w:rsidP="00F113BD">
            <w:pPr>
              <w:spacing w:after="0"/>
              <w:jc w:val="right"/>
              <w:rPr>
                <w:rFonts w:eastAsia="Times New Roman"/>
              </w:rPr>
            </w:pPr>
            <w:r>
              <w:rPr>
                <w:rFonts w:ascii="Arial" w:eastAsia="Times New Roman" w:hAnsi="Arial" w:cs="Arial"/>
                <w:b/>
                <w:bCs/>
                <w:sz w:val="16"/>
                <w:szCs w:val="16"/>
              </w:rPr>
              <w:t>1.831.082,97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AE5C5"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D9E45" w14:textId="77777777" w:rsidR="00FE0C5A" w:rsidRDefault="000C18DB" w:rsidP="00F113BD">
            <w:pPr>
              <w:spacing w:after="0"/>
              <w:jc w:val="right"/>
              <w:rPr>
                <w:rFonts w:eastAsia="Times New Roman"/>
              </w:rPr>
            </w:pPr>
            <w:r>
              <w:rPr>
                <w:rFonts w:ascii="Arial" w:eastAsia="Times New Roman" w:hAnsi="Arial" w:cs="Arial"/>
                <w:b/>
                <w:bCs/>
                <w:sz w:val="16"/>
                <w:szCs w:val="16"/>
              </w:rPr>
              <w:t>1.831.082,97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D7F87" w14:textId="77777777" w:rsidR="00FE0C5A" w:rsidRDefault="000C18DB" w:rsidP="00F113BD">
            <w:pPr>
              <w:spacing w:after="0"/>
              <w:jc w:val="right"/>
              <w:rPr>
                <w:rFonts w:eastAsia="Times New Roman"/>
              </w:rPr>
            </w:pPr>
            <w:r>
              <w:rPr>
                <w:rFonts w:ascii="Arial" w:eastAsia="Times New Roman" w:hAnsi="Arial" w:cs="Arial"/>
                <w:b/>
                <w:bCs/>
                <w:sz w:val="16"/>
                <w:szCs w:val="16"/>
              </w:rPr>
              <w:t>2.122.183,89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23C4E"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04324" w14:textId="77777777" w:rsidR="00FE0C5A" w:rsidRDefault="000C18DB" w:rsidP="00F113BD">
            <w:pPr>
              <w:spacing w:after="0"/>
              <w:jc w:val="right"/>
              <w:rPr>
                <w:rFonts w:eastAsia="Times New Roman"/>
              </w:rPr>
            </w:pPr>
            <w:r>
              <w:rPr>
                <w:rFonts w:ascii="Arial" w:eastAsia="Times New Roman" w:hAnsi="Arial" w:cs="Arial"/>
                <w:b/>
                <w:bCs/>
                <w:sz w:val="16"/>
                <w:szCs w:val="16"/>
              </w:rPr>
              <w:t>2.122.183,89</w:t>
            </w:r>
          </w:p>
        </w:tc>
      </w:tr>
    </w:tbl>
    <w:p w14:paraId="60B17EFA" w14:textId="77777777" w:rsidR="00FE0C5A" w:rsidRDefault="000C18DB">
      <w:pPr>
        <w:pStyle w:val="NormalWeb"/>
        <w:jc w:val="both"/>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w:t>
      </w:r>
      <w:r>
        <w:rPr>
          <w:rFonts w:ascii="Arial" w:hAnsi="Arial" w:cs="Arial"/>
          <w:sz w:val="20"/>
          <w:szCs w:val="20"/>
        </w:rPr>
        <w:t xml:space="preserve"> categoria e devidamente registrado no Ministério do Trabalho;</w:t>
      </w:r>
    </w:p>
    <w:p w14:paraId="6B64666D" w14:textId="2708EBC5" w:rsidR="00FE0C5A" w:rsidRDefault="000C18DB">
      <w:pPr>
        <w:pStyle w:val="NormalWeb"/>
        <w:jc w:val="both"/>
      </w:pPr>
      <w:r>
        <w:rPr>
          <w:rFonts w:ascii="Arial" w:hAnsi="Arial" w:cs="Arial"/>
          <w:sz w:val="20"/>
          <w:szCs w:val="20"/>
        </w:rPr>
        <w:t>(a.</w:t>
      </w:r>
      <w:r w:rsidR="00C17D14">
        <w:rPr>
          <w:rFonts w:ascii="Arial" w:hAnsi="Arial" w:cs="Arial"/>
          <w:sz w:val="20"/>
          <w:szCs w:val="20"/>
        </w:rPr>
        <w:t>2</w:t>
      </w:r>
      <w:r>
        <w:rPr>
          <w:rFonts w:ascii="Arial" w:hAnsi="Arial" w:cs="Arial"/>
          <w:sz w:val="20"/>
          <w:szCs w:val="20"/>
        </w:rPr>
        <w:t>) Refere-se ao valor de cota capital a ser devolvida para os associados que solicitaram o desligamento do quadro social;</w:t>
      </w:r>
    </w:p>
    <w:p w14:paraId="05BA5B69" w14:textId="505D3885" w:rsidR="00FE0C5A" w:rsidRDefault="000C18DB">
      <w:pPr>
        <w:pStyle w:val="NormalWeb"/>
        <w:jc w:val="both"/>
      </w:pPr>
      <w:r>
        <w:rPr>
          <w:rFonts w:ascii="Arial" w:hAnsi="Arial" w:cs="Arial"/>
          <w:sz w:val="20"/>
          <w:szCs w:val="20"/>
        </w:rPr>
        <w:lastRenderedPageBreak/>
        <w:t>(a.</w:t>
      </w:r>
      <w:r w:rsidR="00C17D14">
        <w:rPr>
          <w:rFonts w:ascii="Arial" w:hAnsi="Arial" w:cs="Arial"/>
          <w:sz w:val="20"/>
          <w:szCs w:val="20"/>
        </w:rPr>
        <w:t>3</w:t>
      </w:r>
      <w:r>
        <w:rPr>
          <w:rFonts w:ascii="Arial" w:hAnsi="Arial" w:cs="Arial"/>
          <w:sz w:val="20"/>
          <w:szCs w:val="20"/>
        </w:rPr>
        <w:t>)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w:t>
      </w:r>
      <w:r>
        <w:rPr>
          <w:rFonts w:ascii="Arial" w:hAnsi="Arial" w:cs="Arial"/>
          <w:sz w:val="20"/>
          <w:szCs w:val="20"/>
        </w:rPr>
        <w:t>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59518FB4" w14:textId="77777777" w:rsidR="00FE0C5A" w:rsidRDefault="000C18DB">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através de contrato entre a Cooperativa e a instituição pagadora.</w:t>
      </w:r>
    </w:p>
    <w:p w14:paraId="2902CDF3" w14:textId="77777777" w:rsidR="00FE0C5A" w:rsidRDefault="000C18DB">
      <w:pPr>
        <w:pStyle w:val="NormalWeb"/>
        <w:jc w:val="both"/>
      </w:pPr>
      <w:r>
        <w:rPr>
          <w:rFonts w:ascii="Arial" w:hAnsi="Arial" w:cs="Arial"/>
          <w:sz w:val="20"/>
          <w:szCs w:val="20"/>
        </w:rPr>
        <w:t>(c) Em Provisão para Pagamentos a Efetuar estão registrados:</w:t>
      </w:r>
    </w:p>
    <w:tbl>
      <w:tblPr>
        <w:tblW w:w="5000" w:type="pct"/>
        <w:tblCellMar>
          <w:left w:w="0" w:type="dxa"/>
          <w:right w:w="0" w:type="dxa"/>
        </w:tblCellMar>
        <w:tblLook w:val="04A0" w:firstRow="1" w:lastRow="0" w:firstColumn="1" w:lastColumn="0" w:noHBand="0" w:noVBand="1"/>
      </w:tblPr>
      <w:tblGrid>
        <w:gridCol w:w="3416"/>
        <w:gridCol w:w="1025"/>
        <w:gridCol w:w="1236"/>
        <w:gridCol w:w="1025"/>
        <w:gridCol w:w="1025"/>
        <w:gridCol w:w="1236"/>
        <w:gridCol w:w="1025"/>
      </w:tblGrid>
      <w:tr w:rsidR="00FE0C5A" w14:paraId="50F088D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A3A9C8"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B55AF1"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6E77A3"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314A681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6BFC474"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E07020"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A8199"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A9BBA"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523E9"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F665B"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67A30"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590653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872BD8" w14:textId="77777777" w:rsidR="00FE0C5A" w:rsidRDefault="000C18DB" w:rsidP="00F113BD">
            <w:pPr>
              <w:spacing w:after="0"/>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9C4DF" w14:textId="77777777" w:rsidR="00FE0C5A" w:rsidRDefault="000C18DB" w:rsidP="00F113BD">
            <w:pPr>
              <w:spacing w:after="0"/>
              <w:jc w:val="right"/>
              <w:rPr>
                <w:rFonts w:eastAsia="Times New Roman"/>
              </w:rPr>
            </w:pPr>
            <w:r>
              <w:rPr>
                <w:rFonts w:ascii="Arial" w:eastAsia="Times New Roman" w:hAnsi="Arial" w:cs="Arial"/>
                <w:sz w:val="16"/>
                <w:szCs w:val="16"/>
              </w:rPr>
              <w:t>1.003.535,10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2A32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2BCC" w14:textId="77777777" w:rsidR="00FE0C5A" w:rsidRDefault="000C18DB" w:rsidP="00F113BD">
            <w:pPr>
              <w:spacing w:after="0"/>
              <w:jc w:val="right"/>
              <w:rPr>
                <w:rFonts w:eastAsia="Times New Roman"/>
              </w:rPr>
            </w:pPr>
            <w:r>
              <w:rPr>
                <w:rFonts w:ascii="Arial" w:eastAsia="Times New Roman" w:hAnsi="Arial" w:cs="Arial"/>
                <w:sz w:val="16"/>
                <w:szCs w:val="16"/>
              </w:rPr>
              <w:t>1.003.535,10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C1656" w14:textId="77777777" w:rsidR="00FE0C5A" w:rsidRDefault="000C18DB" w:rsidP="00F113BD">
            <w:pPr>
              <w:spacing w:after="0"/>
              <w:jc w:val="right"/>
              <w:rPr>
                <w:rFonts w:eastAsia="Times New Roman"/>
              </w:rPr>
            </w:pPr>
            <w:r>
              <w:rPr>
                <w:rFonts w:ascii="Arial" w:eastAsia="Times New Roman" w:hAnsi="Arial" w:cs="Arial"/>
                <w:sz w:val="16"/>
                <w:szCs w:val="16"/>
              </w:rPr>
              <w:t>815.037,51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1CA5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D4BEC" w14:textId="77777777" w:rsidR="00FE0C5A" w:rsidRDefault="000C18DB" w:rsidP="00F113BD">
            <w:pPr>
              <w:spacing w:after="0"/>
              <w:jc w:val="right"/>
              <w:rPr>
                <w:rFonts w:eastAsia="Times New Roman"/>
              </w:rPr>
            </w:pPr>
            <w:r>
              <w:rPr>
                <w:rFonts w:ascii="Arial" w:eastAsia="Times New Roman" w:hAnsi="Arial" w:cs="Arial"/>
                <w:sz w:val="16"/>
                <w:szCs w:val="16"/>
              </w:rPr>
              <w:t>815.037,51</w:t>
            </w:r>
          </w:p>
        </w:tc>
      </w:tr>
      <w:tr w:rsidR="00FE0C5A" w14:paraId="46EE24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AD3460" w14:textId="77777777" w:rsidR="00FE0C5A" w:rsidRDefault="000C18DB" w:rsidP="00F113BD">
            <w:pPr>
              <w:spacing w:after="0"/>
              <w:rPr>
                <w:rFonts w:eastAsia="Times New Roman"/>
              </w:rPr>
            </w:pPr>
            <w:r>
              <w:rPr>
                <w:rFonts w:ascii="Arial" w:eastAsia="Times New Roman" w:hAnsi="Arial" w:cs="Arial"/>
                <w:sz w:val="16"/>
                <w:szCs w:val="16"/>
              </w:rPr>
              <w:t xml:space="preserve">Custos de Transações </w:t>
            </w:r>
            <w:r>
              <w:rPr>
                <w:rFonts w:ascii="Arial" w:eastAsia="Times New Roman" w:hAnsi="Arial" w:cs="Arial"/>
                <w:sz w:val="16"/>
                <w:szCs w:val="16"/>
              </w:rPr>
              <w:t>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F2895" w14:textId="77777777" w:rsidR="00FE0C5A" w:rsidRDefault="000C18DB" w:rsidP="00F113BD">
            <w:pPr>
              <w:spacing w:after="0"/>
              <w:jc w:val="right"/>
              <w:rPr>
                <w:rFonts w:eastAsia="Times New Roman"/>
              </w:rPr>
            </w:pPr>
            <w:r>
              <w:rPr>
                <w:rFonts w:ascii="Arial" w:eastAsia="Times New Roman" w:hAnsi="Arial" w:cs="Arial"/>
                <w:sz w:val="16"/>
                <w:szCs w:val="16"/>
              </w:rPr>
              <w:t>22.966,45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4B09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6C613" w14:textId="77777777" w:rsidR="00FE0C5A" w:rsidRDefault="000C18DB" w:rsidP="00F113BD">
            <w:pPr>
              <w:spacing w:after="0"/>
              <w:jc w:val="right"/>
              <w:rPr>
                <w:rFonts w:eastAsia="Times New Roman"/>
              </w:rPr>
            </w:pPr>
            <w:r>
              <w:rPr>
                <w:rFonts w:ascii="Arial" w:eastAsia="Times New Roman" w:hAnsi="Arial" w:cs="Arial"/>
                <w:sz w:val="16"/>
                <w:szCs w:val="16"/>
              </w:rPr>
              <w:t>22.966,45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9BC77" w14:textId="77777777" w:rsidR="00FE0C5A" w:rsidRDefault="000C18DB" w:rsidP="00F113BD">
            <w:pPr>
              <w:spacing w:after="0"/>
              <w:jc w:val="right"/>
              <w:rPr>
                <w:rFonts w:eastAsia="Times New Roman"/>
              </w:rPr>
            </w:pPr>
            <w:r>
              <w:rPr>
                <w:rFonts w:ascii="Arial" w:eastAsia="Times New Roman" w:hAnsi="Arial" w:cs="Arial"/>
                <w:sz w:val="16"/>
                <w:szCs w:val="16"/>
              </w:rPr>
              <w:t>24.455,75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FFAEB"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9F378" w14:textId="77777777" w:rsidR="00FE0C5A" w:rsidRDefault="000C18DB" w:rsidP="00F113BD">
            <w:pPr>
              <w:spacing w:after="0"/>
              <w:jc w:val="right"/>
              <w:rPr>
                <w:rFonts w:eastAsia="Times New Roman"/>
              </w:rPr>
            </w:pPr>
            <w:r>
              <w:rPr>
                <w:rFonts w:ascii="Arial" w:eastAsia="Times New Roman" w:hAnsi="Arial" w:cs="Arial"/>
                <w:sz w:val="16"/>
                <w:szCs w:val="16"/>
              </w:rPr>
              <w:t>24.455,75</w:t>
            </w:r>
          </w:p>
        </w:tc>
      </w:tr>
      <w:tr w:rsidR="00FE0C5A" w14:paraId="2458D0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F0928C" w14:textId="77777777" w:rsidR="00FE0C5A" w:rsidRDefault="000C18DB" w:rsidP="00F113BD">
            <w:pPr>
              <w:spacing w:after="0"/>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2D7A9" w14:textId="77777777" w:rsidR="00FE0C5A" w:rsidRDefault="000C18DB" w:rsidP="00F113BD">
            <w:pPr>
              <w:spacing w:after="0"/>
              <w:jc w:val="right"/>
              <w:rPr>
                <w:rFonts w:eastAsia="Times New Roman"/>
              </w:rPr>
            </w:pPr>
            <w:r>
              <w:rPr>
                <w:rFonts w:ascii="Arial" w:eastAsia="Times New Roman" w:hAnsi="Arial" w:cs="Arial"/>
                <w:sz w:val="16"/>
                <w:szCs w:val="16"/>
              </w:rPr>
              <w:t>154.570,08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816DB"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1ACB2" w14:textId="77777777" w:rsidR="00FE0C5A" w:rsidRDefault="000C18DB" w:rsidP="00F113BD">
            <w:pPr>
              <w:spacing w:after="0"/>
              <w:jc w:val="right"/>
              <w:rPr>
                <w:rFonts w:eastAsia="Times New Roman"/>
              </w:rPr>
            </w:pPr>
            <w:r>
              <w:rPr>
                <w:rFonts w:ascii="Arial" w:eastAsia="Times New Roman" w:hAnsi="Arial" w:cs="Arial"/>
                <w:sz w:val="16"/>
                <w:szCs w:val="16"/>
              </w:rPr>
              <w:t>154.570,08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B086C" w14:textId="77777777" w:rsidR="00FE0C5A" w:rsidRDefault="000C18DB" w:rsidP="00F113BD">
            <w:pPr>
              <w:spacing w:after="0"/>
              <w:jc w:val="right"/>
              <w:rPr>
                <w:rFonts w:eastAsia="Times New Roman"/>
              </w:rPr>
            </w:pPr>
            <w:r>
              <w:rPr>
                <w:rFonts w:ascii="Arial" w:eastAsia="Times New Roman" w:hAnsi="Arial" w:cs="Arial"/>
                <w:sz w:val="16"/>
                <w:szCs w:val="16"/>
              </w:rPr>
              <w:t>130.071,88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EF651"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C6E85" w14:textId="77777777" w:rsidR="00FE0C5A" w:rsidRDefault="000C18DB" w:rsidP="00F113BD">
            <w:pPr>
              <w:spacing w:after="0"/>
              <w:jc w:val="right"/>
              <w:rPr>
                <w:rFonts w:eastAsia="Times New Roman"/>
              </w:rPr>
            </w:pPr>
            <w:r>
              <w:rPr>
                <w:rFonts w:ascii="Arial" w:eastAsia="Times New Roman" w:hAnsi="Arial" w:cs="Arial"/>
                <w:sz w:val="16"/>
                <w:szCs w:val="16"/>
              </w:rPr>
              <w:t>130.071,88</w:t>
            </w:r>
          </w:p>
        </w:tc>
      </w:tr>
      <w:tr w:rsidR="00FE0C5A" w14:paraId="4452A5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35B729" w14:textId="77777777" w:rsidR="00FE0C5A" w:rsidRDefault="000C18DB" w:rsidP="00F113BD">
            <w:pPr>
              <w:spacing w:after="0"/>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0A809" w14:textId="77777777" w:rsidR="00FE0C5A" w:rsidRDefault="000C18DB" w:rsidP="00F113BD">
            <w:pPr>
              <w:spacing w:after="0"/>
              <w:jc w:val="right"/>
              <w:rPr>
                <w:rFonts w:eastAsia="Times New Roman"/>
              </w:rPr>
            </w:pPr>
            <w:r>
              <w:rPr>
                <w:rFonts w:ascii="Arial" w:eastAsia="Times New Roman" w:hAnsi="Arial" w:cs="Arial"/>
                <w:sz w:val="16"/>
                <w:szCs w:val="16"/>
              </w:rPr>
              <w:t>149.971,59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B6320"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66DDC" w14:textId="77777777" w:rsidR="00FE0C5A" w:rsidRDefault="000C18DB" w:rsidP="00F113BD">
            <w:pPr>
              <w:spacing w:after="0"/>
              <w:jc w:val="right"/>
              <w:rPr>
                <w:rFonts w:eastAsia="Times New Roman"/>
              </w:rPr>
            </w:pPr>
            <w:r>
              <w:rPr>
                <w:rFonts w:ascii="Arial" w:eastAsia="Times New Roman" w:hAnsi="Arial" w:cs="Arial"/>
                <w:sz w:val="16"/>
                <w:szCs w:val="16"/>
              </w:rPr>
              <w:t>149.971,59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16357" w14:textId="77777777" w:rsidR="00FE0C5A" w:rsidRDefault="000C18DB" w:rsidP="00F113BD">
            <w:pPr>
              <w:spacing w:after="0"/>
              <w:jc w:val="right"/>
              <w:rPr>
                <w:rFonts w:eastAsia="Times New Roman"/>
              </w:rPr>
            </w:pPr>
            <w:r>
              <w:rPr>
                <w:rFonts w:ascii="Arial" w:eastAsia="Times New Roman" w:hAnsi="Arial" w:cs="Arial"/>
                <w:sz w:val="16"/>
                <w:szCs w:val="16"/>
              </w:rPr>
              <w:t>34.379,48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CF950"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563CE" w14:textId="77777777" w:rsidR="00FE0C5A" w:rsidRDefault="000C18DB" w:rsidP="00F113BD">
            <w:pPr>
              <w:spacing w:after="0"/>
              <w:jc w:val="right"/>
              <w:rPr>
                <w:rFonts w:eastAsia="Times New Roman"/>
              </w:rPr>
            </w:pPr>
            <w:r>
              <w:rPr>
                <w:rFonts w:ascii="Arial" w:eastAsia="Times New Roman" w:hAnsi="Arial" w:cs="Arial"/>
                <w:sz w:val="16"/>
                <w:szCs w:val="16"/>
              </w:rPr>
              <w:t>34.379,48</w:t>
            </w:r>
          </w:p>
        </w:tc>
      </w:tr>
      <w:tr w:rsidR="00FE0C5A" w14:paraId="0E5658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9DA35E" w14:textId="77777777" w:rsidR="00FE0C5A" w:rsidRDefault="000C18DB" w:rsidP="00F113BD">
            <w:pPr>
              <w:spacing w:after="0"/>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11FCC" w14:textId="77777777" w:rsidR="00FE0C5A" w:rsidRDefault="000C18DB" w:rsidP="00F113BD">
            <w:pPr>
              <w:spacing w:after="0"/>
              <w:jc w:val="right"/>
              <w:rPr>
                <w:rFonts w:eastAsia="Times New Roman"/>
              </w:rPr>
            </w:pPr>
            <w:r>
              <w:rPr>
                <w:rFonts w:ascii="Arial" w:eastAsia="Times New Roman" w:hAnsi="Arial" w:cs="Arial"/>
                <w:sz w:val="16"/>
                <w:szCs w:val="16"/>
              </w:rPr>
              <w:t>77.317,61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D95FF"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03D04" w14:textId="77777777" w:rsidR="00FE0C5A" w:rsidRDefault="000C18DB" w:rsidP="00F113BD">
            <w:pPr>
              <w:spacing w:after="0"/>
              <w:jc w:val="right"/>
              <w:rPr>
                <w:rFonts w:eastAsia="Times New Roman"/>
              </w:rPr>
            </w:pPr>
            <w:r>
              <w:rPr>
                <w:rFonts w:ascii="Arial" w:eastAsia="Times New Roman" w:hAnsi="Arial" w:cs="Arial"/>
                <w:sz w:val="16"/>
                <w:szCs w:val="16"/>
              </w:rPr>
              <w:t>77.317,61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1931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42AD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BC236"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561C79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7F9A8B" w14:textId="77777777" w:rsidR="00FE0C5A" w:rsidRDefault="000C18DB" w:rsidP="00F113BD">
            <w:pPr>
              <w:spacing w:after="0"/>
              <w:rPr>
                <w:rFonts w:eastAsia="Times New Roman"/>
              </w:rPr>
            </w:pPr>
            <w:r>
              <w:rPr>
                <w:rFonts w:ascii="Arial" w:eastAsia="Times New Roman" w:hAnsi="Arial" w:cs="Arial"/>
                <w:sz w:val="16"/>
                <w:szCs w:val="16"/>
              </w:rPr>
              <w:t>Segurança e Vigilância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894F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6E89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50F0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DEE75" w14:textId="77777777" w:rsidR="00FE0C5A" w:rsidRDefault="000C18DB" w:rsidP="00F113BD">
            <w:pPr>
              <w:spacing w:after="0"/>
              <w:jc w:val="right"/>
              <w:rPr>
                <w:rFonts w:eastAsia="Times New Roman"/>
              </w:rPr>
            </w:pPr>
            <w:r>
              <w:rPr>
                <w:rFonts w:ascii="Arial" w:eastAsia="Times New Roman" w:hAnsi="Arial" w:cs="Arial"/>
                <w:sz w:val="16"/>
                <w:szCs w:val="16"/>
              </w:rPr>
              <w:t>205,10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1EED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3D2D9" w14:textId="77777777" w:rsidR="00FE0C5A" w:rsidRDefault="000C18DB" w:rsidP="00F113BD">
            <w:pPr>
              <w:spacing w:after="0"/>
              <w:jc w:val="right"/>
              <w:rPr>
                <w:rFonts w:eastAsia="Times New Roman"/>
              </w:rPr>
            </w:pPr>
            <w:r>
              <w:rPr>
                <w:rFonts w:ascii="Arial" w:eastAsia="Times New Roman" w:hAnsi="Arial" w:cs="Arial"/>
                <w:sz w:val="16"/>
                <w:szCs w:val="16"/>
              </w:rPr>
              <w:t>205,10</w:t>
            </w:r>
          </w:p>
        </w:tc>
      </w:tr>
      <w:tr w:rsidR="00FE0C5A" w14:paraId="661CDC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613227" w14:textId="77777777" w:rsidR="00FE0C5A" w:rsidRDefault="000C18DB" w:rsidP="00F113BD">
            <w:pPr>
              <w:spacing w:after="0"/>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DB93E" w14:textId="77777777" w:rsidR="00FE0C5A" w:rsidRDefault="000C18DB" w:rsidP="00F113BD">
            <w:pPr>
              <w:spacing w:after="0"/>
              <w:jc w:val="right"/>
              <w:rPr>
                <w:rFonts w:eastAsia="Times New Roman"/>
              </w:rPr>
            </w:pPr>
            <w:r>
              <w:rPr>
                <w:rFonts w:ascii="Arial" w:eastAsia="Times New Roman" w:hAnsi="Arial" w:cs="Arial"/>
                <w:sz w:val="16"/>
                <w:szCs w:val="16"/>
              </w:rPr>
              <w:t>14.204,62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8466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1D72E" w14:textId="77777777" w:rsidR="00FE0C5A" w:rsidRDefault="000C18DB" w:rsidP="00F113BD">
            <w:pPr>
              <w:spacing w:after="0"/>
              <w:jc w:val="right"/>
              <w:rPr>
                <w:rFonts w:eastAsia="Times New Roman"/>
              </w:rPr>
            </w:pPr>
            <w:r>
              <w:rPr>
                <w:rFonts w:ascii="Arial" w:eastAsia="Times New Roman" w:hAnsi="Arial" w:cs="Arial"/>
                <w:sz w:val="16"/>
                <w:szCs w:val="16"/>
              </w:rPr>
              <w:t>14.204,62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8B98F" w14:textId="77777777" w:rsidR="00FE0C5A" w:rsidRDefault="000C18DB" w:rsidP="00F113BD">
            <w:pPr>
              <w:spacing w:after="0"/>
              <w:jc w:val="right"/>
              <w:rPr>
                <w:rFonts w:eastAsia="Times New Roman"/>
              </w:rPr>
            </w:pPr>
            <w:r>
              <w:rPr>
                <w:rFonts w:ascii="Arial" w:eastAsia="Times New Roman" w:hAnsi="Arial" w:cs="Arial"/>
                <w:sz w:val="16"/>
                <w:szCs w:val="16"/>
              </w:rPr>
              <w:t>7.716,63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35F1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4D645" w14:textId="77777777" w:rsidR="00FE0C5A" w:rsidRDefault="000C18DB" w:rsidP="00F113BD">
            <w:pPr>
              <w:spacing w:after="0"/>
              <w:jc w:val="right"/>
              <w:rPr>
                <w:rFonts w:eastAsia="Times New Roman"/>
              </w:rPr>
            </w:pPr>
            <w:r>
              <w:rPr>
                <w:rFonts w:ascii="Arial" w:eastAsia="Times New Roman" w:hAnsi="Arial" w:cs="Arial"/>
                <w:sz w:val="16"/>
                <w:szCs w:val="16"/>
              </w:rPr>
              <w:t>7.716,63</w:t>
            </w:r>
          </w:p>
        </w:tc>
      </w:tr>
      <w:tr w:rsidR="00FE0C5A" w14:paraId="655715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4E6B3F" w14:textId="77777777" w:rsidR="00FE0C5A" w:rsidRDefault="000C18DB" w:rsidP="00F113BD">
            <w:pPr>
              <w:spacing w:after="0"/>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54F7D" w14:textId="77777777" w:rsidR="00FE0C5A" w:rsidRDefault="000C18DB" w:rsidP="00F113BD">
            <w:pPr>
              <w:spacing w:after="0"/>
              <w:jc w:val="right"/>
              <w:rPr>
                <w:rFonts w:eastAsia="Times New Roman"/>
              </w:rPr>
            </w:pPr>
            <w:r>
              <w:rPr>
                <w:rFonts w:ascii="Arial" w:eastAsia="Times New Roman" w:hAnsi="Arial" w:cs="Arial"/>
                <w:sz w:val="16"/>
                <w:szCs w:val="16"/>
              </w:rPr>
              <w:t>17.227,69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7552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9FAAD" w14:textId="77777777" w:rsidR="00FE0C5A" w:rsidRDefault="000C18DB" w:rsidP="00F113BD">
            <w:pPr>
              <w:spacing w:after="0"/>
              <w:jc w:val="right"/>
              <w:rPr>
                <w:rFonts w:eastAsia="Times New Roman"/>
              </w:rPr>
            </w:pPr>
            <w:r>
              <w:rPr>
                <w:rFonts w:ascii="Arial" w:eastAsia="Times New Roman" w:hAnsi="Arial" w:cs="Arial"/>
                <w:sz w:val="16"/>
                <w:szCs w:val="16"/>
              </w:rPr>
              <w:t>17.227,69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2AC51" w14:textId="77777777" w:rsidR="00FE0C5A" w:rsidRDefault="000C18DB" w:rsidP="00F113BD">
            <w:pPr>
              <w:spacing w:after="0"/>
              <w:jc w:val="right"/>
              <w:rPr>
                <w:rFonts w:eastAsia="Times New Roman"/>
              </w:rPr>
            </w:pPr>
            <w:r>
              <w:rPr>
                <w:rFonts w:ascii="Arial" w:eastAsia="Times New Roman" w:hAnsi="Arial" w:cs="Arial"/>
                <w:sz w:val="16"/>
                <w:szCs w:val="16"/>
              </w:rPr>
              <w:t>18.276,43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987C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B9E5C" w14:textId="77777777" w:rsidR="00FE0C5A" w:rsidRDefault="000C18DB" w:rsidP="00F113BD">
            <w:pPr>
              <w:spacing w:after="0"/>
              <w:jc w:val="right"/>
              <w:rPr>
                <w:rFonts w:eastAsia="Times New Roman"/>
              </w:rPr>
            </w:pPr>
            <w:r>
              <w:rPr>
                <w:rFonts w:ascii="Arial" w:eastAsia="Times New Roman" w:hAnsi="Arial" w:cs="Arial"/>
                <w:sz w:val="16"/>
                <w:szCs w:val="16"/>
              </w:rPr>
              <w:t>18.276,43</w:t>
            </w:r>
          </w:p>
        </w:tc>
      </w:tr>
      <w:tr w:rsidR="00FE0C5A" w14:paraId="0436D3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F0EB28" w14:textId="77777777" w:rsidR="00FE0C5A" w:rsidRDefault="000C18DB" w:rsidP="00F113BD">
            <w:pPr>
              <w:spacing w:after="0"/>
              <w:rPr>
                <w:rFonts w:eastAsia="Times New Roman"/>
              </w:rPr>
            </w:pPr>
            <w:r>
              <w:rPr>
                <w:rFonts w:ascii="Arial" w:eastAsia="Times New Roman"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A3101" w14:textId="77777777" w:rsidR="00FE0C5A" w:rsidRDefault="000C18DB" w:rsidP="00F113BD">
            <w:pPr>
              <w:spacing w:after="0"/>
              <w:jc w:val="right"/>
              <w:rPr>
                <w:rFonts w:eastAsia="Times New Roman"/>
              </w:rPr>
            </w:pPr>
            <w:r>
              <w:rPr>
                <w:rFonts w:ascii="Arial" w:eastAsia="Times New Roman" w:hAnsi="Arial" w:cs="Arial"/>
                <w:sz w:val="16"/>
                <w:szCs w:val="16"/>
              </w:rPr>
              <w:t>2.652,65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6B42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B00C2" w14:textId="77777777" w:rsidR="00FE0C5A" w:rsidRDefault="000C18DB" w:rsidP="00F113BD">
            <w:pPr>
              <w:spacing w:after="0"/>
              <w:jc w:val="right"/>
              <w:rPr>
                <w:rFonts w:eastAsia="Times New Roman"/>
              </w:rPr>
            </w:pPr>
            <w:r>
              <w:rPr>
                <w:rFonts w:ascii="Arial" w:eastAsia="Times New Roman" w:hAnsi="Arial" w:cs="Arial"/>
                <w:sz w:val="16"/>
                <w:szCs w:val="16"/>
              </w:rPr>
              <w:t>2.652,65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8E739" w14:textId="77777777" w:rsidR="00FE0C5A" w:rsidRDefault="000C18DB" w:rsidP="00F113BD">
            <w:pPr>
              <w:spacing w:after="0"/>
              <w:jc w:val="right"/>
              <w:rPr>
                <w:rFonts w:eastAsia="Times New Roman"/>
              </w:rPr>
            </w:pPr>
            <w:r>
              <w:rPr>
                <w:rFonts w:ascii="Arial" w:eastAsia="Times New Roman" w:hAnsi="Arial" w:cs="Arial"/>
                <w:sz w:val="16"/>
                <w:szCs w:val="16"/>
              </w:rPr>
              <w:t>3.611,50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B39E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8C4E7" w14:textId="77777777" w:rsidR="00FE0C5A" w:rsidRDefault="000C18DB" w:rsidP="00F113BD">
            <w:pPr>
              <w:spacing w:after="0"/>
              <w:jc w:val="right"/>
              <w:rPr>
                <w:rFonts w:eastAsia="Times New Roman"/>
              </w:rPr>
            </w:pPr>
            <w:r>
              <w:rPr>
                <w:rFonts w:ascii="Arial" w:eastAsia="Times New Roman" w:hAnsi="Arial" w:cs="Arial"/>
                <w:sz w:val="16"/>
                <w:szCs w:val="16"/>
              </w:rPr>
              <w:t>3.611,50</w:t>
            </w:r>
          </w:p>
        </w:tc>
      </w:tr>
      <w:tr w:rsidR="00FE0C5A" w14:paraId="41C154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589EBC" w14:textId="77777777" w:rsidR="00FE0C5A" w:rsidRDefault="000C18DB" w:rsidP="00F113BD">
            <w:pPr>
              <w:spacing w:after="0"/>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E725B" w14:textId="77777777" w:rsidR="00FE0C5A" w:rsidRDefault="000C18DB" w:rsidP="00F113BD">
            <w:pPr>
              <w:spacing w:after="0"/>
              <w:jc w:val="right"/>
              <w:rPr>
                <w:rFonts w:eastAsia="Times New Roman"/>
              </w:rPr>
            </w:pPr>
            <w:r>
              <w:rPr>
                <w:rFonts w:ascii="Arial" w:eastAsia="Times New Roman" w:hAnsi="Arial" w:cs="Arial"/>
                <w:sz w:val="16"/>
                <w:szCs w:val="16"/>
              </w:rPr>
              <w:t>77.777,14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5E1A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EA047" w14:textId="77777777" w:rsidR="00FE0C5A" w:rsidRDefault="000C18DB" w:rsidP="00F113BD">
            <w:pPr>
              <w:spacing w:after="0"/>
              <w:jc w:val="right"/>
              <w:rPr>
                <w:rFonts w:eastAsia="Times New Roman"/>
              </w:rPr>
            </w:pPr>
            <w:r>
              <w:rPr>
                <w:rFonts w:ascii="Arial" w:eastAsia="Times New Roman" w:hAnsi="Arial" w:cs="Arial"/>
                <w:sz w:val="16"/>
                <w:szCs w:val="16"/>
              </w:rPr>
              <w:t>77.777,14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7B11E" w14:textId="77777777" w:rsidR="00FE0C5A" w:rsidRDefault="000C18DB" w:rsidP="00F113BD">
            <w:pPr>
              <w:spacing w:after="0"/>
              <w:jc w:val="right"/>
              <w:rPr>
                <w:rFonts w:eastAsia="Times New Roman"/>
              </w:rPr>
            </w:pPr>
            <w:r>
              <w:rPr>
                <w:rFonts w:ascii="Arial" w:eastAsia="Times New Roman" w:hAnsi="Arial" w:cs="Arial"/>
                <w:sz w:val="16"/>
                <w:szCs w:val="16"/>
              </w:rPr>
              <w:t>20.241,26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27FE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176A5" w14:textId="77777777" w:rsidR="00FE0C5A" w:rsidRDefault="000C18DB" w:rsidP="00F113BD">
            <w:pPr>
              <w:spacing w:after="0"/>
              <w:jc w:val="right"/>
              <w:rPr>
                <w:rFonts w:eastAsia="Times New Roman"/>
              </w:rPr>
            </w:pPr>
            <w:r>
              <w:rPr>
                <w:rFonts w:ascii="Arial" w:eastAsia="Times New Roman" w:hAnsi="Arial" w:cs="Arial"/>
                <w:sz w:val="16"/>
                <w:szCs w:val="16"/>
              </w:rPr>
              <w:t>20.241,26</w:t>
            </w:r>
          </w:p>
        </w:tc>
      </w:tr>
      <w:tr w:rsidR="00FE0C5A" w14:paraId="115918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D2E9E5" w14:textId="77777777" w:rsidR="00FE0C5A" w:rsidRDefault="000C18DB" w:rsidP="00F113BD">
            <w:pPr>
              <w:spacing w:after="0"/>
              <w:rPr>
                <w:rFonts w:eastAsia="Times New Roman"/>
              </w:rPr>
            </w:pPr>
            <w:r>
              <w:rPr>
                <w:rFonts w:ascii="Arial" w:eastAsia="Times New Roman"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3CFA8" w14:textId="77777777" w:rsidR="00FE0C5A" w:rsidRDefault="000C18DB" w:rsidP="00F113BD">
            <w:pPr>
              <w:spacing w:after="0"/>
              <w:jc w:val="right"/>
              <w:rPr>
                <w:rFonts w:eastAsia="Times New Roman"/>
              </w:rPr>
            </w:pPr>
            <w:r>
              <w:rPr>
                <w:rFonts w:ascii="Arial" w:eastAsia="Times New Roman" w:hAnsi="Arial" w:cs="Arial"/>
                <w:sz w:val="16"/>
                <w:szCs w:val="16"/>
              </w:rPr>
              <w:t>1.400,00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3539"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0B9B3" w14:textId="77777777" w:rsidR="00FE0C5A" w:rsidRDefault="000C18DB" w:rsidP="00F113BD">
            <w:pPr>
              <w:spacing w:after="0"/>
              <w:jc w:val="right"/>
              <w:rPr>
                <w:rFonts w:eastAsia="Times New Roman"/>
              </w:rPr>
            </w:pPr>
            <w:r>
              <w:rPr>
                <w:rFonts w:ascii="Arial" w:eastAsia="Times New Roman" w:hAnsi="Arial" w:cs="Arial"/>
                <w:sz w:val="16"/>
                <w:szCs w:val="16"/>
              </w:rPr>
              <w:t>1.400,00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0FAB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0286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A1DE1"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3BB587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045573" w14:textId="77777777" w:rsidR="00FE0C5A" w:rsidRDefault="000C18DB" w:rsidP="00F113BD">
            <w:pPr>
              <w:spacing w:after="0"/>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EDC78" w14:textId="77777777" w:rsidR="00FE0C5A" w:rsidRDefault="000C18DB" w:rsidP="00F113BD">
            <w:pPr>
              <w:spacing w:after="0"/>
              <w:jc w:val="right"/>
              <w:rPr>
                <w:rFonts w:eastAsia="Times New Roman"/>
              </w:rPr>
            </w:pPr>
            <w:r>
              <w:rPr>
                <w:rFonts w:ascii="Arial" w:eastAsia="Times New Roman" w:hAnsi="Arial" w:cs="Arial"/>
                <w:sz w:val="16"/>
                <w:szCs w:val="16"/>
              </w:rPr>
              <w:t>249.692,88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CAA3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A7916" w14:textId="77777777" w:rsidR="00FE0C5A" w:rsidRDefault="000C18DB" w:rsidP="00F113BD">
            <w:pPr>
              <w:spacing w:after="0"/>
              <w:jc w:val="right"/>
              <w:rPr>
                <w:rFonts w:eastAsia="Times New Roman"/>
              </w:rPr>
            </w:pPr>
            <w:r>
              <w:rPr>
                <w:rFonts w:ascii="Arial" w:eastAsia="Times New Roman" w:hAnsi="Arial" w:cs="Arial"/>
                <w:sz w:val="16"/>
                <w:szCs w:val="16"/>
              </w:rPr>
              <w:t>249.692,88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425EC" w14:textId="77777777" w:rsidR="00FE0C5A" w:rsidRDefault="000C18DB" w:rsidP="00F113BD">
            <w:pPr>
              <w:spacing w:after="0"/>
              <w:jc w:val="right"/>
              <w:rPr>
                <w:rFonts w:eastAsia="Times New Roman"/>
              </w:rPr>
            </w:pPr>
            <w:r>
              <w:rPr>
                <w:rFonts w:ascii="Arial" w:eastAsia="Times New Roman" w:hAnsi="Arial" w:cs="Arial"/>
                <w:sz w:val="16"/>
                <w:szCs w:val="16"/>
              </w:rPr>
              <w:t>230.044,01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F9BEA"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D16EF" w14:textId="77777777" w:rsidR="00FE0C5A" w:rsidRDefault="000C18DB" w:rsidP="00F113BD">
            <w:pPr>
              <w:spacing w:after="0"/>
              <w:jc w:val="right"/>
              <w:rPr>
                <w:rFonts w:eastAsia="Times New Roman"/>
              </w:rPr>
            </w:pPr>
            <w:r>
              <w:rPr>
                <w:rFonts w:ascii="Arial" w:eastAsia="Times New Roman" w:hAnsi="Arial" w:cs="Arial"/>
                <w:sz w:val="16"/>
                <w:szCs w:val="16"/>
              </w:rPr>
              <w:t>230.044,01</w:t>
            </w:r>
          </w:p>
        </w:tc>
      </w:tr>
      <w:tr w:rsidR="00FE0C5A" w14:paraId="21AB9F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266C34"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1E659" w14:textId="77777777" w:rsidR="00FE0C5A" w:rsidRDefault="000C18DB" w:rsidP="00F113BD">
            <w:pPr>
              <w:spacing w:after="0"/>
              <w:jc w:val="right"/>
              <w:rPr>
                <w:rFonts w:eastAsia="Times New Roman"/>
              </w:rPr>
            </w:pPr>
            <w:r>
              <w:rPr>
                <w:rFonts w:ascii="Arial" w:eastAsia="Times New Roman" w:hAnsi="Arial" w:cs="Arial"/>
                <w:b/>
                <w:bCs/>
                <w:sz w:val="16"/>
                <w:szCs w:val="16"/>
              </w:rPr>
              <w:t>1.771.315,81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ECDE8"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E147F" w14:textId="77777777" w:rsidR="00FE0C5A" w:rsidRDefault="000C18DB" w:rsidP="00F113BD">
            <w:pPr>
              <w:spacing w:after="0"/>
              <w:jc w:val="right"/>
              <w:rPr>
                <w:rFonts w:eastAsia="Times New Roman"/>
              </w:rPr>
            </w:pPr>
            <w:r>
              <w:rPr>
                <w:rFonts w:ascii="Arial" w:eastAsia="Times New Roman" w:hAnsi="Arial" w:cs="Arial"/>
                <w:b/>
                <w:bCs/>
                <w:sz w:val="16"/>
                <w:szCs w:val="16"/>
              </w:rPr>
              <w:t>1.771.315,81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53676" w14:textId="77777777" w:rsidR="00FE0C5A" w:rsidRDefault="000C18DB" w:rsidP="00F113BD">
            <w:pPr>
              <w:spacing w:after="0"/>
              <w:jc w:val="right"/>
              <w:rPr>
                <w:rFonts w:eastAsia="Times New Roman"/>
              </w:rPr>
            </w:pPr>
            <w:r>
              <w:rPr>
                <w:rFonts w:ascii="Arial" w:eastAsia="Times New Roman" w:hAnsi="Arial" w:cs="Arial"/>
                <w:b/>
                <w:bCs/>
                <w:sz w:val="16"/>
                <w:szCs w:val="16"/>
              </w:rPr>
              <w:t>1.284.039,55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71D1E"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4CFFB" w14:textId="77777777" w:rsidR="00FE0C5A" w:rsidRDefault="000C18DB" w:rsidP="00F113BD">
            <w:pPr>
              <w:spacing w:after="0"/>
              <w:jc w:val="right"/>
              <w:rPr>
                <w:rFonts w:eastAsia="Times New Roman"/>
              </w:rPr>
            </w:pPr>
            <w:r>
              <w:rPr>
                <w:rFonts w:ascii="Arial" w:eastAsia="Times New Roman" w:hAnsi="Arial" w:cs="Arial"/>
                <w:b/>
                <w:bCs/>
                <w:sz w:val="16"/>
                <w:szCs w:val="16"/>
              </w:rPr>
              <w:t>1.284.039,55</w:t>
            </w:r>
          </w:p>
        </w:tc>
      </w:tr>
    </w:tbl>
    <w:p w14:paraId="41C20C3C" w14:textId="77777777" w:rsidR="00FE0C5A" w:rsidRDefault="000C18DB">
      <w:pPr>
        <w:pStyle w:val="NormalWeb"/>
        <w:jc w:val="both"/>
      </w:pPr>
      <w:r>
        <w:rPr>
          <w:rFonts w:ascii="Arial" w:hAnsi="Arial" w:cs="Arial"/>
          <w:sz w:val="20"/>
          <w:szCs w:val="20"/>
        </w:rPr>
        <w:t>(d) Os saldos em Credores Diversos - País referem-se:</w:t>
      </w:r>
    </w:p>
    <w:tbl>
      <w:tblPr>
        <w:tblW w:w="5000" w:type="pct"/>
        <w:tblCellMar>
          <w:left w:w="0" w:type="dxa"/>
          <w:right w:w="0" w:type="dxa"/>
        </w:tblCellMar>
        <w:tblLook w:val="04A0" w:firstRow="1" w:lastRow="0" w:firstColumn="1" w:lastColumn="0" w:noHBand="0" w:noVBand="1"/>
      </w:tblPr>
      <w:tblGrid>
        <w:gridCol w:w="4544"/>
        <w:gridCol w:w="816"/>
        <w:gridCol w:w="1090"/>
        <w:gridCol w:w="816"/>
        <w:gridCol w:w="816"/>
        <w:gridCol w:w="1090"/>
        <w:gridCol w:w="816"/>
      </w:tblGrid>
      <w:tr w:rsidR="00FE0C5A" w14:paraId="1FFCEE2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5C428C"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71CC28"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B1BF19"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2A47794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5487634" w14:textId="77777777" w:rsidR="00FE0C5A" w:rsidRDefault="00FE0C5A" w:rsidP="00F113BD">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EB794B"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8E1E6"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F2279"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A67C7" w14:textId="77777777" w:rsidR="00FE0C5A" w:rsidRDefault="000C18DB" w:rsidP="00F113BD">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C25BE" w14:textId="77777777" w:rsidR="00FE0C5A" w:rsidRDefault="000C18DB" w:rsidP="00F113BD">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0CBCE"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r>
      <w:tr w:rsidR="00FE0C5A" w14:paraId="3707EA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0356CF" w14:textId="77777777" w:rsidR="00FE0C5A" w:rsidRDefault="000C18DB" w:rsidP="00F113BD">
            <w:pPr>
              <w:spacing w:after="0"/>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5EC6A" w14:textId="77777777" w:rsidR="00FE0C5A" w:rsidRDefault="000C18DB" w:rsidP="00F113BD">
            <w:pPr>
              <w:spacing w:after="0"/>
              <w:jc w:val="right"/>
              <w:rPr>
                <w:rFonts w:eastAsia="Times New Roman"/>
              </w:rPr>
            </w:pPr>
            <w:r>
              <w:rPr>
                <w:rFonts w:ascii="Arial" w:eastAsia="Times New Roman" w:hAnsi="Arial" w:cs="Arial"/>
                <w:sz w:val="16"/>
                <w:szCs w:val="16"/>
              </w:rPr>
              <w:t>61.064,19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E3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548AF" w14:textId="77777777" w:rsidR="00FE0C5A" w:rsidRDefault="000C18DB" w:rsidP="00F113BD">
            <w:pPr>
              <w:spacing w:after="0"/>
              <w:jc w:val="right"/>
              <w:rPr>
                <w:rFonts w:eastAsia="Times New Roman"/>
              </w:rPr>
            </w:pPr>
            <w:r>
              <w:rPr>
                <w:rFonts w:ascii="Arial" w:eastAsia="Times New Roman" w:hAnsi="Arial" w:cs="Arial"/>
                <w:sz w:val="16"/>
                <w:szCs w:val="16"/>
              </w:rPr>
              <w:t>61.064,19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26032" w14:textId="77777777" w:rsidR="00FE0C5A" w:rsidRDefault="000C18DB" w:rsidP="00F113BD">
            <w:pPr>
              <w:spacing w:after="0"/>
              <w:jc w:val="right"/>
              <w:rPr>
                <w:rFonts w:eastAsia="Times New Roman"/>
              </w:rPr>
            </w:pPr>
            <w:r>
              <w:rPr>
                <w:rFonts w:ascii="Arial" w:eastAsia="Times New Roman" w:hAnsi="Arial" w:cs="Arial"/>
                <w:sz w:val="16"/>
                <w:szCs w:val="16"/>
              </w:rPr>
              <w:t>1.736,08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127D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16BF8" w14:textId="77777777" w:rsidR="00FE0C5A" w:rsidRDefault="000C18DB" w:rsidP="00F113BD">
            <w:pPr>
              <w:spacing w:after="0"/>
              <w:jc w:val="right"/>
              <w:rPr>
                <w:rFonts w:eastAsia="Times New Roman"/>
              </w:rPr>
            </w:pPr>
            <w:r>
              <w:rPr>
                <w:rFonts w:ascii="Arial" w:eastAsia="Times New Roman" w:hAnsi="Arial" w:cs="Arial"/>
                <w:sz w:val="16"/>
                <w:szCs w:val="16"/>
              </w:rPr>
              <w:t>1.736,08</w:t>
            </w:r>
          </w:p>
        </w:tc>
      </w:tr>
      <w:tr w:rsidR="00FE0C5A" w14:paraId="4D33E6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B386D3" w14:textId="77777777" w:rsidR="00FE0C5A" w:rsidRDefault="000C18DB" w:rsidP="00F113BD">
            <w:pPr>
              <w:spacing w:after="0"/>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82F1C" w14:textId="77777777" w:rsidR="00FE0C5A" w:rsidRDefault="000C18DB" w:rsidP="00F113BD">
            <w:pPr>
              <w:spacing w:after="0"/>
              <w:jc w:val="right"/>
              <w:rPr>
                <w:rFonts w:eastAsia="Times New Roman"/>
              </w:rPr>
            </w:pPr>
            <w:r>
              <w:rPr>
                <w:rFonts w:ascii="Arial" w:eastAsia="Times New Roman" w:hAnsi="Arial" w:cs="Arial"/>
                <w:sz w:val="16"/>
                <w:szCs w:val="16"/>
              </w:rPr>
              <w:t>39.312,03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4129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95D3A" w14:textId="77777777" w:rsidR="00FE0C5A" w:rsidRDefault="000C18DB" w:rsidP="00F113BD">
            <w:pPr>
              <w:spacing w:after="0"/>
              <w:jc w:val="right"/>
              <w:rPr>
                <w:rFonts w:eastAsia="Times New Roman"/>
              </w:rPr>
            </w:pPr>
            <w:r>
              <w:rPr>
                <w:rFonts w:ascii="Arial" w:eastAsia="Times New Roman" w:hAnsi="Arial" w:cs="Arial"/>
                <w:sz w:val="16"/>
                <w:szCs w:val="16"/>
              </w:rPr>
              <w:t>39.312,03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A7361" w14:textId="77777777" w:rsidR="00FE0C5A" w:rsidRDefault="000C18DB" w:rsidP="00F113BD">
            <w:pPr>
              <w:spacing w:after="0"/>
              <w:jc w:val="right"/>
              <w:rPr>
                <w:rFonts w:eastAsia="Times New Roman"/>
              </w:rPr>
            </w:pPr>
            <w:r>
              <w:rPr>
                <w:rFonts w:ascii="Arial" w:eastAsia="Times New Roman" w:hAnsi="Arial" w:cs="Arial"/>
                <w:sz w:val="16"/>
                <w:szCs w:val="16"/>
              </w:rPr>
              <w:t>36.060,22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92D1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30DC3" w14:textId="77777777" w:rsidR="00FE0C5A" w:rsidRDefault="000C18DB" w:rsidP="00F113BD">
            <w:pPr>
              <w:spacing w:after="0"/>
              <w:jc w:val="right"/>
              <w:rPr>
                <w:rFonts w:eastAsia="Times New Roman"/>
              </w:rPr>
            </w:pPr>
            <w:r>
              <w:rPr>
                <w:rFonts w:ascii="Arial" w:eastAsia="Times New Roman" w:hAnsi="Arial" w:cs="Arial"/>
                <w:sz w:val="16"/>
                <w:szCs w:val="16"/>
              </w:rPr>
              <w:t>36.060,22</w:t>
            </w:r>
          </w:p>
        </w:tc>
      </w:tr>
      <w:tr w:rsidR="00FE0C5A" w14:paraId="416C71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13361A" w14:textId="77777777" w:rsidR="00FE0C5A" w:rsidRDefault="000C18DB" w:rsidP="00F113BD">
            <w:pPr>
              <w:spacing w:after="0"/>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F5BCA" w14:textId="77777777" w:rsidR="00FE0C5A" w:rsidRDefault="000C18DB" w:rsidP="00F113BD">
            <w:pPr>
              <w:spacing w:after="0"/>
              <w:jc w:val="right"/>
              <w:rPr>
                <w:rFonts w:eastAsia="Times New Roman"/>
              </w:rPr>
            </w:pPr>
            <w:r>
              <w:rPr>
                <w:rFonts w:ascii="Arial" w:eastAsia="Times New Roman" w:hAnsi="Arial" w:cs="Arial"/>
                <w:sz w:val="16"/>
                <w:szCs w:val="16"/>
              </w:rPr>
              <w:t>31.297,27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10DC7"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A6A60" w14:textId="77777777" w:rsidR="00FE0C5A" w:rsidRDefault="000C18DB" w:rsidP="00F113BD">
            <w:pPr>
              <w:spacing w:after="0"/>
              <w:jc w:val="right"/>
              <w:rPr>
                <w:rFonts w:eastAsia="Times New Roman"/>
              </w:rPr>
            </w:pPr>
            <w:r>
              <w:rPr>
                <w:rFonts w:ascii="Arial" w:eastAsia="Times New Roman" w:hAnsi="Arial" w:cs="Arial"/>
                <w:sz w:val="16"/>
                <w:szCs w:val="16"/>
              </w:rPr>
              <w:t>31.297,27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FD1F9" w14:textId="77777777" w:rsidR="00FE0C5A" w:rsidRDefault="000C18DB" w:rsidP="00F113BD">
            <w:pPr>
              <w:spacing w:after="0"/>
              <w:jc w:val="right"/>
              <w:rPr>
                <w:rFonts w:eastAsia="Times New Roman"/>
              </w:rPr>
            </w:pPr>
            <w:r>
              <w:rPr>
                <w:rFonts w:ascii="Arial" w:eastAsia="Times New Roman" w:hAnsi="Arial" w:cs="Arial"/>
                <w:sz w:val="16"/>
                <w:szCs w:val="16"/>
              </w:rPr>
              <w:t>38.780,91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702EA"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7B376" w14:textId="77777777" w:rsidR="00FE0C5A" w:rsidRDefault="000C18DB" w:rsidP="00F113BD">
            <w:pPr>
              <w:spacing w:after="0"/>
              <w:jc w:val="right"/>
              <w:rPr>
                <w:rFonts w:eastAsia="Times New Roman"/>
              </w:rPr>
            </w:pPr>
            <w:r>
              <w:rPr>
                <w:rFonts w:ascii="Arial" w:eastAsia="Times New Roman" w:hAnsi="Arial" w:cs="Arial"/>
                <w:sz w:val="16"/>
                <w:szCs w:val="16"/>
              </w:rPr>
              <w:t>38.780,91</w:t>
            </w:r>
          </w:p>
        </w:tc>
      </w:tr>
      <w:tr w:rsidR="00FE0C5A" w14:paraId="635039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4898AC" w14:textId="77777777" w:rsidR="00FE0C5A" w:rsidRDefault="000C18DB" w:rsidP="00F113BD">
            <w:pPr>
              <w:spacing w:after="0"/>
              <w:rPr>
                <w:rFonts w:eastAsia="Times New Roman"/>
              </w:rPr>
            </w:pPr>
            <w:r>
              <w:rPr>
                <w:rFonts w:ascii="Arial" w:eastAsia="Times New Roman" w:hAnsi="Arial" w:cs="Arial"/>
                <w:sz w:val="16"/>
                <w:szCs w:val="16"/>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5E72A" w14:textId="77777777" w:rsidR="00FE0C5A" w:rsidRDefault="000C18DB" w:rsidP="00F113BD">
            <w:pPr>
              <w:spacing w:after="0"/>
              <w:jc w:val="right"/>
              <w:rPr>
                <w:rFonts w:eastAsia="Times New Roman"/>
              </w:rPr>
            </w:pPr>
            <w:r>
              <w:rPr>
                <w:rFonts w:ascii="Arial" w:eastAsia="Times New Roman" w:hAnsi="Arial" w:cs="Arial"/>
                <w:sz w:val="16"/>
                <w:szCs w:val="16"/>
              </w:rPr>
              <w:t>79.019,66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1E04B"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67344" w14:textId="77777777" w:rsidR="00FE0C5A" w:rsidRDefault="000C18DB" w:rsidP="00F113BD">
            <w:pPr>
              <w:spacing w:after="0"/>
              <w:jc w:val="right"/>
              <w:rPr>
                <w:rFonts w:eastAsia="Times New Roman"/>
              </w:rPr>
            </w:pPr>
            <w:r>
              <w:rPr>
                <w:rFonts w:ascii="Arial" w:eastAsia="Times New Roman" w:hAnsi="Arial" w:cs="Arial"/>
                <w:sz w:val="16"/>
                <w:szCs w:val="16"/>
              </w:rPr>
              <w:t>79.019,66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0BF4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632B9"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4C4D7"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2229BA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C0BBCC" w14:textId="77777777" w:rsidR="00FE0C5A" w:rsidRDefault="000C18DB" w:rsidP="00F113BD">
            <w:pPr>
              <w:spacing w:after="0"/>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14BD0" w14:textId="77777777" w:rsidR="00FE0C5A" w:rsidRDefault="000C18DB" w:rsidP="00F113BD">
            <w:pPr>
              <w:spacing w:after="0"/>
              <w:jc w:val="right"/>
              <w:rPr>
                <w:rFonts w:eastAsia="Times New Roman"/>
              </w:rPr>
            </w:pPr>
            <w:r>
              <w:rPr>
                <w:rFonts w:ascii="Arial" w:eastAsia="Times New Roman" w:hAnsi="Arial" w:cs="Arial"/>
                <w:sz w:val="16"/>
                <w:szCs w:val="16"/>
              </w:rPr>
              <w:t>11.787,72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6481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7CEC1" w14:textId="77777777" w:rsidR="00FE0C5A" w:rsidRDefault="000C18DB" w:rsidP="00F113BD">
            <w:pPr>
              <w:spacing w:after="0"/>
              <w:jc w:val="right"/>
              <w:rPr>
                <w:rFonts w:eastAsia="Times New Roman"/>
              </w:rPr>
            </w:pPr>
            <w:r>
              <w:rPr>
                <w:rFonts w:ascii="Arial" w:eastAsia="Times New Roman" w:hAnsi="Arial" w:cs="Arial"/>
                <w:sz w:val="16"/>
                <w:szCs w:val="16"/>
              </w:rPr>
              <w:t>11.787,72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39163" w14:textId="77777777" w:rsidR="00FE0C5A" w:rsidRDefault="000C18DB" w:rsidP="00F113BD">
            <w:pPr>
              <w:spacing w:after="0"/>
              <w:jc w:val="right"/>
              <w:rPr>
                <w:rFonts w:eastAsia="Times New Roman"/>
              </w:rPr>
            </w:pPr>
            <w:r>
              <w:rPr>
                <w:rFonts w:ascii="Arial" w:eastAsia="Times New Roman" w:hAnsi="Arial" w:cs="Arial"/>
                <w:sz w:val="16"/>
                <w:szCs w:val="16"/>
              </w:rPr>
              <w:t>20.992,00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D638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0D0DE" w14:textId="77777777" w:rsidR="00FE0C5A" w:rsidRDefault="000C18DB" w:rsidP="00F113BD">
            <w:pPr>
              <w:spacing w:after="0"/>
              <w:jc w:val="right"/>
              <w:rPr>
                <w:rFonts w:eastAsia="Times New Roman"/>
              </w:rPr>
            </w:pPr>
            <w:r>
              <w:rPr>
                <w:rFonts w:ascii="Arial" w:eastAsia="Times New Roman" w:hAnsi="Arial" w:cs="Arial"/>
                <w:sz w:val="16"/>
                <w:szCs w:val="16"/>
              </w:rPr>
              <w:t>20.992,00</w:t>
            </w:r>
          </w:p>
        </w:tc>
      </w:tr>
      <w:tr w:rsidR="00FE0C5A" w14:paraId="7D732F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EF2DE0" w14:textId="77777777" w:rsidR="00FE0C5A" w:rsidRDefault="000C18DB" w:rsidP="00F113BD">
            <w:pPr>
              <w:spacing w:after="0"/>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FAC17" w14:textId="77777777" w:rsidR="00FE0C5A" w:rsidRDefault="000C18DB" w:rsidP="00F113BD">
            <w:pPr>
              <w:spacing w:after="0"/>
              <w:jc w:val="right"/>
              <w:rPr>
                <w:rFonts w:eastAsia="Times New Roman"/>
              </w:rPr>
            </w:pPr>
            <w:r>
              <w:rPr>
                <w:rFonts w:ascii="Arial" w:eastAsia="Times New Roman" w:hAnsi="Arial" w:cs="Arial"/>
                <w:sz w:val="16"/>
                <w:szCs w:val="16"/>
              </w:rPr>
              <w:t>100.365,78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9AD4B"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A0643" w14:textId="77777777" w:rsidR="00FE0C5A" w:rsidRDefault="000C18DB" w:rsidP="00F113BD">
            <w:pPr>
              <w:spacing w:after="0"/>
              <w:jc w:val="right"/>
              <w:rPr>
                <w:rFonts w:eastAsia="Times New Roman"/>
              </w:rPr>
            </w:pPr>
            <w:r>
              <w:rPr>
                <w:rFonts w:ascii="Arial" w:eastAsia="Times New Roman" w:hAnsi="Arial" w:cs="Arial"/>
                <w:sz w:val="16"/>
                <w:szCs w:val="16"/>
              </w:rPr>
              <w:t>100.365,78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F2762" w14:textId="77777777" w:rsidR="00FE0C5A" w:rsidRDefault="000C18DB" w:rsidP="00F113BD">
            <w:pPr>
              <w:spacing w:after="0"/>
              <w:jc w:val="right"/>
              <w:rPr>
                <w:rFonts w:eastAsia="Times New Roman"/>
              </w:rPr>
            </w:pPr>
            <w:r>
              <w:rPr>
                <w:rFonts w:ascii="Arial" w:eastAsia="Times New Roman" w:hAnsi="Arial" w:cs="Arial"/>
                <w:sz w:val="16"/>
                <w:szCs w:val="16"/>
              </w:rPr>
              <w:t>131.630,12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6BBC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ED80C" w14:textId="77777777" w:rsidR="00FE0C5A" w:rsidRDefault="000C18DB" w:rsidP="00F113BD">
            <w:pPr>
              <w:spacing w:after="0"/>
              <w:jc w:val="right"/>
              <w:rPr>
                <w:rFonts w:eastAsia="Times New Roman"/>
              </w:rPr>
            </w:pPr>
            <w:r>
              <w:rPr>
                <w:rFonts w:ascii="Arial" w:eastAsia="Times New Roman" w:hAnsi="Arial" w:cs="Arial"/>
                <w:sz w:val="16"/>
                <w:szCs w:val="16"/>
              </w:rPr>
              <w:t>131.630,12</w:t>
            </w:r>
          </w:p>
        </w:tc>
      </w:tr>
      <w:tr w:rsidR="00FE0C5A" w14:paraId="767AC9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00BDAE" w14:textId="77777777" w:rsidR="00FE0C5A" w:rsidRDefault="000C18DB" w:rsidP="00F113BD">
            <w:pPr>
              <w:spacing w:after="0"/>
              <w:rPr>
                <w:rFonts w:eastAsia="Times New Roman"/>
              </w:rPr>
            </w:pPr>
            <w:r>
              <w:rPr>
                <w:rFonts w:ascii="Arial" w:eastAsia="Times New Roman" w:hAnsi="Arial" w:cs="Arial"/>
                <w:sz w:val="16"/>
                <w:szCs w:val="16"/>
              </w:rPr>
              <w:t>Desconto Folha Pgto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98844" w14:textId="77777777" w:rsidR="00FE0C5A" w:rsidRDefault="000C18DB" w:rsidP="00F113BD">
            <w:pPr>
              <w:spacing w:after="0"/>
              <w:jc w:val="right"/>
              <w:rPr>
                <w:rFonts w:eastAsia="Times New Roman"/>
              </w:rPr>
            </w:pPr>
            <w:r>
              <w:rPr>
                <w:rFonts w:ascii="Arial" w:eastAsia="Times New Roman" w:hAnsi="Arial" w:cs="Arial"/>
                <w:sz w:val="16"/>
                <w:szCs w:val="16"/>
              </w:rPr>
              <w:t>16.307,05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D5A3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9DA33" w14:textId="77777777" w:rsidR="00FE0C5A" w:rsidRDefault="000C18DB" w:rsidP="00F113BD">
            <w:pPr>
              <w:spacing w:after="0"/>
              <w:jc w:val="right"/>
              <w:rPr>
                <w:rFonts w:eastAsia="Times New Roman"/>
              </w:rPr>
            </w:pPr>
            <w:r>
              <w:rPr>
                <w:rFonts w:ascii="Arial" w:eastAsia="Times New Roman" w:hAnsi="Arial" w:cs="Arial"/>
                <w:sz w:val="16"/>
                <w:szCs w:val="16"/>
              </w:rPr>
              <w:t>16.307,05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4C38A" w14:textId="77777777" w:rsidR="00FE0C5A" w:rsidRDefault="000C18DB" w:rsidP="00F113BD">
            <w:pPr>
              <w:spacing w:after="0"/>
              <w:jc w:val="right"/>
              <w:rPr>
                <w:rFonts w:eastAsia="Times New Roman"/>
              </w:rPr>
            </w:pPr>
            <w:r>
              <w:rPr>
                <w:rFonts w:ascii="Arial" w:eastAsia="Times New Roman" w:hAnsi="Arial" w:cs="Arial"/>
                <w:sz w:val="16"/>
                <w:szCs w:val="16"/>
              </w:rPr>
              <w:t>16.666,86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E5AC6"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D4F5F" w14:textId="77777777" w:rsidR="00FE0C5A" w:rsidRDefault="000C18DB" w:rsidP="00F113BD">
            <w:pPr>
              <w:spacing w:after="0"/>
              <w:jc w:val="right"/>
              <w:rPr>
                <w:rFonts w:eastAsia="Times New Roman"/>
              </w:rPr>
            </w:pPr>
            <w:r>
              <w:rPr>
                <w:rFonts w:ascii="Arial" w:eastAsia="Times New Roman" w:hAnsi="Arial" w:cs="Arial"/>
                <w:sz w:val="16"/>
                <w:szCs w:val="16"/>
              </w:rPr>
              <w:t>16.666,86</w:t>
            </w:r>
          </w:p>
        </w:tc>
      </w:tr>
      <w:tr w:rsidR="00FE0C5A" w14:paraId="222E01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91131B" w14:textId="77777777" w:rsidR="00FE0C5A" w:rsidRDefault="000C18DB" w:rsidP="00F113BD">
            <w:pPr>
              <w:spacing w:after="0"/>
              <w:rPr>
                <w:rFonts w:eastAsia="Times New Roman"/>
              </w:rPr>
            </w:pPr>
            <w:r>
              <w:rPr>
                <w:rFonts w:ascii="Arial" w:eastAsia="Times New Roman" w:hAnsi="Arial" w:cs="Arial"/>
                <w:sz w:val="16"/>
                <w:szCs w:val="16"/>
              </w:rPr>
              <w:t xml:space="preserve">Outros </w:t>
            </w:r>
            <w:r>
              <w:rPr>
                <w:rFonts w:ascii="Arial" w:eastAsia="Times New Roman" w:hAnsi="Arial" w:cs="Arial"/>
                <w:sz w:val="16"/>
                <w:szCs w:val="16"/>
              </w:rPr>
              <w:t>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6EA51" w14:textId="77777777" w:rsidR="00FE0C5A" w:rsidRDefault="000C18DB" w:rsidP="00F113BD">
            <w:pPr>
              <w:spacing w:after="0"/>
              <w:jc w:val="right"/>
              <w:rPr>
                <w:rFonts w:eastAsia="Times New Roman"/>
              </w:rPr>
            </w:pPr>
            <w:r>
              <w:rPr>
                <w:rFonts w:ascii="Arial" w:eastAsia="Times New Roman" w:hAnsi="Arial" w:cs="Arial"/>
                <w:sz w:val="16"/>
                <w:szCs w:val="16"/>
              </w:rPr>
              <w:t>70.954,41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81AC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795EA" w14:textId="77777777" w:rsidR="00FE0C5A" w:rsidRDefault="000C18DB" w:rsidP="00F113BD">
            <w:pPr>
              <w:spacing w:after="0"/>
              <w:jc w:val="right"/>
              <w:rPr>
                <w:rFonts w:eastAsia="Times New Roman"/>
              </w:rPr>
            </w:pPr>
            <w:r>
              <w:rPr>
                <w:rFonts w:ascii="Arial" w:eastAsia="Times New Roman" w:hAnsi="Arial" w:cs="Arial"/>
                <w:sz w:val="16"/>
                <w:szCs w:val="16"/>
              </w:rPr>
              <w:t>70.954,41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EFB22" w14:textId="77777777" w:rsidR="00FE0C5A" w:rsidRDefault="000C18DB" w:rsidP="00F113BD">
            <w:pPr>
              <w:spacing w:after="0"/>
              <w:jc w:val="right"/>
              <w:rPr>
                <w:rFonts w:eastAsia="Times New Roman"/>
              </w:rPr>
            </w:pPr>
            <w:r>
              <w:rPr>
                <w:rFonts w:ascii="Arial" w:eastAsia="Times New Roman" w:hAnsi="Arial" w:cs="Arial"/>
                <w:sz w:val="16"/>
                <w:szCs w:val="16"/>
              </w:rPr>
              <w:t>633,16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5525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4D1B6" w14:textId="77777777" w:rsidR="00FE0C5A" w:rsidRDefault="000C18DB" w:rsidP="00F113BD">
            <w:pPr>
              <w:spacing w:after="0"/>
              <w:jc w:val="right"/>
              <w:rPr>
                <w:rFonts w:eastAsia="Times New Roman"/>
              </w:rPr>
            </w:pPr>
            <w:r>
              <w:rPr>
                <w:rFonts w:ascii="Arial" w:eastAsia="Times New Roman" w:hAnsi="Arial" w:cs="Arial"/>
                <w:sz w:val="16"/>
                <w:szCs w:val="16"/>
              </w:rPr>
              <w:t>633,16</w:t>
            </w:r>
          </w:p>
        </w:tc>
      </w:tr>
      <w:tr w:rsidR="00FE0C5A" w14:paraId="64974B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FC1876"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350F7" w14:textId="77777777" w:rsidR="00FE0C5A" w:rsidRDefault="000C18DB" w:rsidP="00F113BD">
            <w:pPr>
              <w:spacing w:after="0"/>
              <w:jc w:val="right"/>
              <w:rPr>
                <w:rFonts w:eastAsia="Times New Roman"/>
              </w:rPr>
            </w:pPr>
            <w:r>
              <w:rPr>
                <w:rFonts w:ascii="Arial" w:eastAsia="Times New Roman" w:hAnsi="Arial" w:cs="Arial"/>
                <w:b/>
                <w:bCs/>
                <w:sz w:val="16"/>
                <w:szCs w:val="16"/>
              </w:rPr>
              <w:t>410.108,11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5F55D"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2BE43" w14:textId="77777777" w:rsidR="00FE0C5A" w:rsidRDefault="000C18DB" w:rsidP="00F113BD">
            <w:pPr>
              <w:spacing w:after="0"/>
              <w:jc w:val="right"/>
              <w:rPr>
                <w:rFonts w:eastAsia="Times New Roman"/>
              </w:rPr>
            </w:pPr>
            <w:r>
              <w:rPr>
                <w:rFonts w:ascii="Arial" w:eastAsia="Times New Roman" w:hAnsi="Arial" w:cs="Arial"/>
                <w:b/>
                <w:bCs/>
                <w:sz w:val="16"/>
                <w:szCs w:val="16"/>
              </w:rPr>
              <w:t>410.108,11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9E324" w14:textId="77777777" w:rsidR="00FE0C5A" w:rsidRDefault="000C18DB" w:rsidP="00F113BD">
            <w:pPr>
              <w:spacing w:after="0"/>
              <w:jc w:val="right"/>
              <w:rPr>
                <w:rFonts w:eastAsia="Times New Roman"/>
              </w:rPr>
            </w:pPr>
            <w:r>
              <w:rPr>
                <w:rFonts w:ascii="Arial" w:eastAsia="Times New Roman" w:hAnsi="Arial" w:cs="Arial"/>
                <w:b/>
                <w:bCs/>
                <w:sz w:val="16"/>
                <w:szCs w:val="16"/>
              </w:rPr>
              <w:t>246.499,35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B848A" w14:textId="77777777" w:rsidR="00FE0C5A" w:rsidRDefault="000C18DB" w:rsidP="00F113BD">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87F45" w14:textId="77777777" w:rsidR="00FE0C5A" w:rsidRDefault="000C18DB" w:rsidP="00F113BD">
            <w:pPr>
              <w:spacing w:after="0"/>
              <w:jc w:val="right"/>
              <w:rPr>
                <w:rFonts w:eastAsia="Times New Roman"/>
              </w:rPr>
            </w:pPr>
            <w:r>
              <w:rPr>
                <w:rFonts w:ascii="Arial" w:eastAsia="Times New Roman" w:hAnsi="Arial" w:cs="Arial"/>
                <w:b/>
                <w:bCs/>
                <w:sz w:val="16"/>
                <w:szCs w:val="16"/>
              </w:rPr>
              <w:t>246.499,35</w:t>
            </w:r>
          </w:p>
        </w:tc>
      </w:tr>
    </w:tbl>
    <w:p w14:paraId="7E9AF862" w14:textId="29A9E3F6" w:rsidR="00FE0C5A" w:rsidRDefault="00C17D14">
      <w:pPr>
        <w:pStyle w:val="NormalWeb"/>
        <w:jc w:val="both"/>
      </w:pPr>
      <w:r>
        <w:rPr>
          <w:rFonts w:ascii="Arial" w:hAnsi="Arial" w:cs="Arial"/>
          <w:b/>
          <w:bCs/>
          <w:sz w:val="20"/>
          <w:szCs w:val="20"/>
        </w:rPr>
        <w:t>19. Patrimônio Líquido</w:t>
      </w:r>
    </w:p>
    <w:p w14:paraId="1A37B839" w14:textId="77777777" w:rsidR="00FE0C5A" w:rsidRDefault="000C18DB">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66A3167B" w14:textId="77777777" w:rsidR="00FE0C5A" w:rsidRDefault="000C18DB">
      <w:pPr>
        <w:pStyle w:val="NormalWeb"/>
        <w:jc w:val="both"/>
      </w:pPr>
      <w:r>
        <w:rPr>
          <w:rFonts w:ascii="Arial" w:hAnsi="Arial" w:cs="Arial"/>
          <w:sz w:val="20"/>
          <w:szCs w:val="20"/>
        </w:rPr>
        <w:t xml:space="preserve">O capital social é representado por cotas-partes no valor nominal de R$ 1,00 (cada) e </w:t>
      </w:r>
      <w:r>
        <w:rPr>
          <w:rFonts w:ascii="Arial" w:hAnsi="Arial" w:cs="Arial"/>
          <w:sz w:val="20"/>
          <w:szCs w:val="20"/>
        </w:rPr>
        <w:t>integralizado por seus Associados. De acordo com o Estatuto Social, cada cooperado tem direito a um voto, independentemente do número de suas cotas-partes.</w:t>
      </w:r>
    </w:p>
    <w:tbl>
      <w:tblPr>
        <w:tblW w:w="5000" w:type="pct"/>
        <w:tblCellMar>
          <w:left w:w="0" w:type="dxa"/>
          <w:right w:w="0" w:type="dxa"/>
        </w:tblCellMar>
        <w:tblLook w:val="04A0" w:firstRow="1" w:lastRow="0" w:firstColumn="1" w:lastColumn="0" w:noHBand="0" w:noVBand="1"/>
      </w:tblPr>
      <w:tblGrid>
        <w:gridCol w:w="4874"/>
        <w:gridCol w:w="2557"/>
        <w:gridCol w:w="2557"/>
      </w:tblGrid>
      <w:tr w:rsidR="00FE0C5A" w14:paraId="4B2D0E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6C5258"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FA354"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9B18B"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3EA043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846375" w14:textId="77777777" w:rsidR="00FE0C5A" w:rsidRDefault="000C18DB" w:rsidP="00F113BD">
            <w:pPr>
              <w:spacing w:after="0"/>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833F4" w14:textId="77777777" w:rsidR="00FE0C5A" w:rsidRDefault="000C18DB" w:rsidP="00F113BD">
            <w:pPr>
              <w:spacing w:after="0"/>
              <w:jc w:val="right"/>
              <w:rPr>
                <w:rFonts w:eastAsia="Times New Roman"/>
              </w:rPr>
            </w:pPr>
            <w:r>
              <w:rPr>
                <w:rFonts w:ascii="Arial" w:eastAsia="Times New Roman" w:hAnsi="Arial" w:cs="Arial"/>
                <w:sz w:val="16"/>
                <w:szCs w:val="16"/>
              </w:rPr>
              <w:t>20.173.584,20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DF72C" w14:textId="77777777" w:rsidR="00FE0C5A" w:rsidRDefault="000C18DB" w:rsidP="00F113BD">
            <w:pPr>
              <w:spacing w:after="0"/>
              <w:jc w:val="right"/>
              <w:rPr>
                <w:rFonts w:eastAsia="Times New Roman"/>
              </w:rPr>
            </w:pPr>
            <w:r>
              <w:rPr>
                <w:rFonts w:ascii="Arial" w:eastAsia="Times New Roman" w:hAnsi="Arial" w:cs="Arial"/>
                <w:sz w:val="16"/>
                <w:szCs w:val="16"/>
              </w:rPr>
              <w:t>18.226.847,06</w:t>
            </w:r>
          </w:p>
        </w:tc>
      </w:tr>
      <w:tr w:rsidR="00FE0C5A" w14:paraId="5760B4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4B6524" w14:textId="77777777" w:rsidR="00FE0C5A" w:rsidRDefault="000C18DB" w:rsidP="00F113BD">
            <w:pPr>
              <w:spacing w:after="0"/>
              <w:rPr>
                <w:rFonts w:eastAsia="Times New Roman"/>
              </w:rPr>
            </w:pPr>
            <w:r>
              <w:rPr>
                <w:rFonts w:ascii="Arial" w:eastAsia="Times New Roman" w:hAnsi="Arial" w:cs="Arial"/>
                <w:sz w:val="16"/>
                <w:szCs w:val="16"/>
              </w:rPr>
              <w:lastRenderedPageBreak/>
              <w:t xml:space="preserve">Quantidade de </w:t>
            </w:r>
            <w:r>
              <w:rPr>
                <w:rFonts w:ascii="Arial" w:eastAsia="Times New Roman" w:hAnsi="Arial" w:cs="Arial"/>
                <w:sz w:val="16"/>
                <w:szCs w:val="16"/>
              </w:rPr>
              <w:t>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3DA69" w14:textId="77777777" w:rsidR="00FE0C5A" w:rsidRDefault="000C18DB" w:rsidP="00F113BD">
            <w:pPr>
              <w:spacing w:after="0"/>
              <w:jc w:val="right"/>
              <w:rPr>
                <w:rFonts w:eastAsia="Times New Roman"/>
              </w:rPr>
            </w:pPr>
            <w:r>
              <w:rPr>
                <w:rFonts w:ascii="Arial" w:eastAsia="Times New Roman" w:hAnsi="Arial" w:cs="Arial"/>
                <w:sz w:val="16"/>
                <w:szCs w:val="16"/>
              </w:rPr>
              <w:t>8.781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EE128" w14:textId="77777777" w:rsidR="00FE0C5A" w:rsidRDefault="000C18DB" w:rsidP="00F113BD">
            <w:pPr>
              <w:spacing w:after="0"/>
              <w:jc w:val="right"/>
              <w:rPr>
                <w:rFonts w:eastAsia="Times New Roman"/>
              </w:rPr>
            </w:pPr>
            <w:r>
              <w:rPr>
                <w:rFonts w:ascii="Arial" w:eastAsia="Times New Roman" w:hAnsi="Arial" w:cs="Arial"/>
                <w:sz w:val="16"/>
                <w:szCs w:val="16"/>
              </w:rPr>
              <w:t>7.389</w:t>
            </w:r>
          </w:p>
        </w:tc>
      </w:tr>
    </w:tbl>
    <w:p w14:paraId="09170766" w14:textId="77777777" w:rsidR="00FE0C5A" w:rsidRDefault="000C18DB">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 xml:space="preserve">Reserva Legal </w:t>
      </w:r>
    </w:p>
    <w:p w14:paraId="53837732" w14:textId="77777777" w:rsidR="00FE0C5A" w:rsidRDefault="000C18DB">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221E6104" w14:textId="6013E5A8" w:rsidR="00FE0C5A" w:rsidRDefault="00CC11C2">
      <w:pPr>
        <w:pStyle w:val="NormalWeb"/>
        <w:jc w:val="both"/>
      </w:pPr>
      <w:r>
        <w:rPr>
          <w:rFonts w:ascii="Arial" w:hAnsi="Arial" w:cs="Arial"/>
          <w:b/>
          <w:bCs/>
          <w:sz w:val="20"/>
          <w:szCs w:val="20"/>
        </w:rPr>
        <w:t>c) Sobras Acumuladas</w:t>
      </w:r>
    </w:p>
    <w:p w14:paraId="027CA8F4" w14:textId="77777777" w:rsidR="00FE0C5A" w:rsidRDefault="000C18DB">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036A4B99" w14:textId="77777777" w:rsidR="00FE0C5A" w:rsidRDefault="000C18DB">
      <w:pPr>
        <w:pStyle w:val="NormalWeb"/>
        <w:jc w:val="both"/>
      </w:pPr>
      <w:r>
        <w:rPr>
          <w:rFonts w:ascii="Arial" w:hAnsi="Arial" w:cs="Arial"/>
          <w:sz w:val="20"/>
          <w:szCs w:val="20"/>
        </w:rPr>
        <w:t xml:space="preserve">Em Assembleia Geral Ordinária, realizada em </w:t>
      </w:r>
      <w:r>
        <w:rPr>
          <w:rFonts w:ascii="Arial" w:hAnsi="Arial" w:cs="Arial"/>
          <w:b/>
          <w:bCs/>
          <w:sz w:val="20"/>
          <w:szCs w:val="20"/>
        </w:rPr>
        <w:t xml:space="preserve">2023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2022</w:t>
      </w:r>
      <w:r>
        <w:rPr>
          <w:rFonts w:ascii="Arial" w:hAnsi="Arial" w:cs="Arial"/>
          <w:sz w:val="20"/>
          <w:szCs w:val="20"/>
        </w:rPr>
        <w:t xml:space="preserve"> da seguinte forma:</w:t>
      </w:r>
    </w:p>
    <w:p w14:paraId="1FE2CD7B" w14:textId="77FF4A27" w:rsidR="00FE0C5A" w:rsidRDefault="000C18DB">
      <w:pPr>
        <w:pStyle w:val="NormalWeb"/>
        <w:jc w:val="both"/>
      </w:pPr>
      <w:r>
        <w:rPr>
          <w:rFonts w:ascii="Arial" w:hAnsi="Arial" w:cs="Arial"/>
          <w:sz w:val="20"/>
          <w:szCs w:val="20"/>
        </w:rPr>
        <w:t xml:space="preserve">• </w:t>
      </w:r>
      <w:r w:rsidR="00CC11C2" w:rsidRPr="00CC11C2">
        <w:rPr>
          <w:rFonts w:ascii="Arial" w:hAnsi="Arial" w:cs="Arial"/>
          <w:sz w:val="20"/>
          <w:szCs w:val="20"/>
        </w:rPr>
        <w:t>50% para Fundo de Reserva, no valor de R$ 1.093.891,17;</w:t>
      </w:r>
    </w:p>
    <w:p w14:paraId="5AF1A830" w14:textId="44FB197F" w:rsidR="00FE0C5A" w:rsidRDefault="000C18DB">
      <w:pPr>
        <w:pStyle w:val="NormalWeb"/>
        <w:jc w:val="both"/>
      </w:pPr>
      <w:r>
        <w:rPr>
          <w:rFonts w:ascii="Arial" w:hAnsi="Arial" w:cs="Arial"/>
          <w:sz w:val="20"/>
          <w:szCs w:val="20"/>
        </w:rPr>
        <w:t xml:space="preserve">• </w:t>
      </w:r>
      <w:r w:rsidR="00CC11C2" w:rsidRPr="00CC11C2">
        <w:rPr>
          <w:rFonts w:ascii="Arial" w:hAnsi="Arial" w:cs="Arial"/>
          <w:sz w:val="20"/>
          <w:szCs w:val="20"/>
        </w:rPr>
        <w:t>50% para Conta Capital, no valor de R$ 1.093.891,18.</w:t>
      </w:r>
    </w:p>
    <w:p w14:paraId="282781D5" w14:textId="67871550" w:rsidR="00FE0C5A" w:rsidRDefault="00CC11C2">
      <w:pPr>
        <w:pStyle w:val="NormalWeb"/>
        <w:jc w:val="both"/>
      </w:pPr>
      <w:r>
        <w:rPr>
          <w:rFonts w:ascii="Arial" w:hAnsi="Arial" w:cs="Arial"/>
          <w:b/>
          <w:bCs/>
          <w:sz w:val="20"/>
          <w:szCs w:val="20"/>
        </w:rPr>
        <w:t>d)</w:t>
      </w:r>
      <w:r>
        <w:rPr>
          <w:rFonts w:ascii="Arial" w:hAnsi="Arial" w:cs="Arial"/>
          <w:sz w:val="20"/>
          <w:szCs w:val="20"/>
        </w:rPr>
        <w:t xml:space="preserve"> </w:t>
      </w:r>
      <w:r>
        <w:rPr>
          <w:rFonts w:ascii="Arial" w:hAnsi="Arial" w:cs="Arial"/>
          <w:b/>
          <w:bCs/>
          <w:sz w:val="20"/>
          <w:szCs w:val="20"/>
        </w:rPr>
        <w:t xml:space="preserve">Destinações Estatutárias e Legais </w:t>
      </w:r>
    </w:p>
    <w:p w14:paraId="0EAC806E" w14:textId="77777777" w:rsidR="00FE0C5A" w:rsidRDefault="000C18DB">
      <w:pPr>
        <w:pStyle w:val="NormalWeb"/>
        <w:jc w:val="both"/>
      </w:pPr>
      <w:r>
        <w:rPr>
          <w:rFonts w:ascii="Arial" w:hAnsi="Arial" w:cs="Arial"/>
          <w:sz w:val="20"/>
          <w:szCs w:val="20"/>
        </w:rPr>
        <w:t xml:space="preserve">A seguir, apresentamos as </w:t>
      </w:r>
      <w:r>
        <w:rPr>
          <w:rFonts w:ascii="Arial" w:hAnsi="Arial" w:cs="Arial"/>
          <w:sz w:val="20"/>
          <w:szCs w:val="20"/>
        </w:rPr>
        <w:t>destinações estatutárias e legais, bem como as sobras ou perdas à disposição da Assembleia Geral:</w:t>
      </w:r>
    </w:p>
    <w:tbl>
      <w:tblPr>
        <w:tblW w:w="5000" w:type="pct"/>
        <w:tblCellMar>
          <w:left w:w="0" w:type="dxa"/>
          <w:right w:w="0" w:type="dxa"/>
        </w:tblCellMar>
        <w:tblLook w:val="04A0" w:firstRow="1" w:lastRow="0" w:firstColumn="1" w:lastColumn="0" w:noHBand="0" w:noVBand="1"/>
      </w:tblPr>
      <w:tblGrid>
        <w:gridCol w:w="6702"/>
        <w:gridCol w:w="1643"/>
        <w:gridCol w:w="1643"/>
      </w:tblGrid>
      <w:tr w:rsidR="00FE0C5A" w14:paraId="062DDB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C7AA58"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EB628"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EDB40"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43F3BE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7640C" w14:textId="1B54A7F0" w:rsidR="00FE0C5A" w:rsidRDefault="000C18DB" w:rsidP="00F113BD">
            <w:pPr>
              <w:spacing w:after="0"/>
              <w:rPr>
                <w:rFonts w:eastAsia="Times New Roman"/>
              </w:rPr>
            </w:pPr>
            <w:r>
              <w:rPr>
                <w:rFonts w:ascii="Arial" w:eastAsia="Times New Roman" w:hAnsi="Arial" w:cs="Arial"/>
                <w:b/>
                <w:bCs/>
                <w:sz w:val="16"/>
                <w:szCs w:val="16"/>
              </w:rPr>
              <w:t>Sobras do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5F10C" w14:textId="4A0F708E" w:rsidR="00FE0C5A" w:rsidRPr="007E7909" w:rsidRDefault="007E7909" w:rsidP="007E7909">
            <w:pPr>
              <w:spacing w:after="0"/>
              <w:jc w:val="right"/>
              <w:rPr>
                <w:rFonts w:ascii="ArialMT" w:hAnsi="ArialMT" w:cs="ArialMT"/>
                <w:b/>
                <w:bCs/>
                <w:kern w:val="0"/>
                <w:sz w:val="16"/>
                <w:szCs w:val="16"/>
              </w:rPr>
            </w:pPr>
            <w:r w:rsidRPr="007E7909">
              <w:rPr>
                <w:rFonts w:ascii="ArialMT" w:hAnsi="ArialMT" w:cs="ArialMT"/>
                <w:b/>
                <w:bCs/>
                <w:kern w:val="0"/>
                <w:sz w:val="16"/>
                <w:szCs w:val="16"/>
              </w:rPr>
              <w:t>8.686.240,46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D3C01" w14:textId="46AF8BFE" w:rsidR="00FE0C5A" w:rsidRDefault="005A1437" w:rsidP="005A1437">
            <w:pPr>
              <w:spacing w:after="0"/>
              <w:jc w:val="right"/>
              <w:rPr>
                <w:rFonts w:eastAsia="Times New Roman"/>
                <w:sz w:val="20"/>
                <w:szCs w:val="20"/>
              </w:rPr>
            </w:pPr>
            <w:r>
              <w:rPr>
                <w:rFonts w:ascii="Arial-BoldMT" w:hAnsi="Arial-BoldMT" w:cs="Arial-BoldMT"/>
                <w:b/>
                <w:bCs/>
                <w:kern w:val="0"/>
                <w:sz w:val="16"/>
                <w:szCs w:val="16"/>
              </w:rPr>
              <w:t>6.740.045,03</w:t>
            </w:r>
          </w:p>
        </w:tc>
      </w:tr>
      <w:tr w:rsidR="00FE0C5A" w14:paraId="0CEB92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8B78A1" w14:textId="77777777" w:rsidR="00FE0C5A" w:rsidRDefault="000C18DB" w:rsidP="00F113BD">
            <w:pPr>
              <w:spacing w:after="0"/>
              <w:rPr>
                <w:rFonts w:eastAsia="Times New Roman"/>
              </w:rPr>
            </w:pPr>
            <w:r>
              <w:rPr>
                <w:rFonts w:ascii="Arial" w:eastAsia="Times New Roman" w:hAnsi="Arial" w:cs="Arial"/>
                <w:sz w:val="16"/>
                <w:szCs w:val="16"/>
              </w:rPr>
              <w:t>(+) Absorção de FATES e/ou Fundos Voluntários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F6C7E" w14:textId="087E72E2" w:rsidR="00FE0C5A" w:rsidRPr="007E7909" w:rsidRDefault="007E7909" w:rsidP="007E7909">
            <w:pPr>
              <w:spacing w:after="0"/>
              <w:jc w:val="right"/>
              <w:rPr>
                <w:rFonts w:ascii="ArialMT" w:hAnsi="ArialMT" w:cs="ArialMT"/>
                <w:kern w:val="0"/>
                <w:sz w:val="16"/>
                <w:szCs w:val="16"/>
              </w:rPr>
            </w:pPr>
            <w:r w:rsidRPr="007E7909">
              <w:rPr>
                <w:rFonts w:ascii="ArialMT" w:hAnsi="ArialMT" w:cs="ArialMT"/>
                <w:kern w:val="0"/>
                <w:sz w:val="16"/>
                <w:szCs w:val="16"/>
              </w:rPr>
              <w:t>1.166.439,12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1D37E" w14:textId="60904BEE" w:rsidR="00FE0C5A" w:rsidRDefault="005A1437" w:rsidP="005A1437">
            <w:pPr>
              <w:spacing w:after="0"/>
              <w:jc w:val="right"/>
              <w:rPr>
                <w:rFonts w:eastAsia="Times New Roman"/>
                <w:sz w:val="20"/>
                <w:szCs w:val="20"/>
              </w:rPr>
            </w:pPr>
            <w:r>
              <w:rPr>
                <w:rFonts w:ascii="ArialMT" w:hAnsi="ArialMT" w:cs="ArialMT"/>
                <w:kern w:val="0"/>
                <w:sz w:val="16"/>
                <w:szCs w:val="16"/>
              </w:rPr>
              <w:t>552.562,82</w:t>
            </w:r>
          </w:p>
        </w:tc>
      </w:tr>
      <w:tr w:rsidR="00FE0C5A" w14:paraId="1F0184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4E80D8" w14:textId="5EABC7BC" w:rsidR="00FE0C5A" w:rsidRDefault="007E7909" w:rsidP="00F113BD">
            <w:pPr>
              <w:spacing w:after="0"/>
              <w:rPr>
                <w:rFonts w:eastAsia="Times New Roman"/>
              </w:rPr>
            </w:pPr>
            <w:r w:rsidRPr="007E7909">
              <w:rPr>
                <w:rFonts w:ascii="Arial" w:eastAsia="Times New Roman" w:hAnsi="Arial" w:cs="Arial"/>
                <w:sz w:val="16"/>
                <w:szCs w:val="16"/>
              </w:rPr>
              <w:t>(-) Valores em prejuízo recuperados de exercícios anteriores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1B7F0" w14:textId="5AE15137" w:rsidR="00FE0C5A" w:rsidRPr="007E7909" w:rsidRDefault="007E7909" w:rsidP="007E7909">
            <w:pPr>
              <w:spacing w:after="0"/>
              <w:jc w:val="right"/>
              <w:rPr>
                <w:rFonts w:ascii="ArialMT" w:hAnsi="ArialMT" w:cs="ArialMT"/>
                <w:kern w:val="0"/>
                <w:sz w:val="16"/>
                <w:szCs w:val="16"/>
              </w:rPr>
            </w:pPr>
            <w:r w:rsidRPr="007E7909">
              <w:rPr>
                <w:rFonts w:ascii="ArialMT" w:hAnsi="ArialMT" w:cs="ArialMT"/>
                <w:kern w:val="0"/>
                <w:sz w:val="16"/>
                <w:szCs w:val="16"/>
              </w:rPr>
              <w:t>(202.433,64)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A2105" w14:textId="31818E62" w:rsidR="00FE0C5A" w:rsidRDefault="00E8184F" w:rsidP="00E8184F">
            <w:pPr>
              <w:spacing w:after="0"/>
              <w:jc w:val="center"/>
              <w:rPr>
                <w:rFonts w:eastAsia="Times New Roman"/>
                <w:sz w:val="20"/>
                <w:szCs w:val="20"/>
              </w:rPr>
            </w:pPr>
            <w:r>
              <w:rPr>
                <w:rFonts w:eastAsia="Times New Roman"/>
                <w:sz w:val="20"/>
                <w:szCs w:val="20"/>
              </w:rPr>
              <w:t>-</w:t>
            </w:r>
          </w:p>
        </w:tc>
      </w:tr>
      <w:tr w:rsidR="00FE0C5A" w14:paraId="329177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42FC22" w14:textId="77777777" w:rsidR="00FE0C5A" w:rsidRDefault="000C18DB" w:rsidP="00F113BD">
            <w:pPr>
              <w:spacing w:after="0"/>
              <w:rPr>
                <w:rFonts w:eastAsia="Times New Roman"/>
              </w:rPr>
            </w:pPr>
            <w:r>
              <w:rPr>
                <w:rFonts w:ascii="Arial" w:eastAsia="Times New Roman" w:hAnsi="Arial" w:cs="Arial"/>
                <w:b/>
                <w:bCs/>
                <w:sz w:val="16"/>
                <w:szCs w:val="16"/>
              </w:rPr>
              <w:t>Base de cálculo das destinações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F5B59" w14:textId="7409361A" w:rsidR="00FE0C5A" w:rsidRPr="007E7909" w:rsidRDefault="007E7909" w:rsidP="007E7909">
            <w:pPr>
              <w:spacing w:after="0"/>
              <w:jc w:val="right"/>
              <w:rPr>
                <w:rFonts w:ascii="ArialMT" w:hAnsi="ArialMT" w:cs="ArialMT"/>
                <w:b/>
                <w:bCs/>
                <w:kern w:val="0"/>
                <w:sz w:val="16"/>
                <w:szCs w:val="16"/>
              </w:rPr>
            </w:pPr>
            <w:r w:rsidRPr="007E7909">
              <w:rPr>
                <w:rFonts w:ascii="ArialMT" w:hAnsi="ArialMT" w:cs="ArialMT"/>
                <w:b/>
                <w:bCs/>
                <w:kern w:val="0"/>
                <w:sz w:val="16"/>
                <w:szCs w:val="16"/>
              </w:rPr>
              <w:t>9.650.245,94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04B9D" w14:textId="179FE9B6" w:rsidR="00FE0C5A" w:rsidRDefault="005A1437" w:rsidP="005A1437">
            <w:pPr>
              <w:spacing w:after="0"/>
              <w:jc w:val="right"/>
              <w:rPr>
                <w:rFonts w:eastAsia="Times New Roman"/>
                <w:sz w:val="20"/>
                <w:szCs w:val="20"/>
              </w:rPr>
            </w:pPr>
            <w:r>
              <w:rPr>
                <w:rFonts w:ascii="Arial-BoldMT" w:hAnsi="Arial-BoldMT" w:cs="Arial-BoldMT"/>
                <w:b/>
                <w:bCs/>
                <w:kern w:val="0"/>
                <w:sz w:val="16"/>
                <w:szCs w:val="16"/>
              </w:rPr>
              <w:t>7.292.607,85</w:t>
            </w:r>
          </w:p>
        </w:tc>
      </w:tr>
      <w:tr w:rsidR="00FE0C5A" w14:paraId="5D6223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964C46" w14:textId="29D8FF0F" w:rsidR="00FE0C5A" w:rsidRDefault="000C18DB" w:rsidP="00F113BD">
            <w:pPr>
              <w:spacing w:after="0"/>
              <w:rPr>
                <w:rFonts w:eastAsia="Times New Roman"/>
              </w:rPr>
            </w:pPr>
            <w:r>
              <w:rPr>
                <w:rFonts w:ascii="Arial" w:eastAsia="Times New Roman" w:hAnsi="Arial" w:cs="Arial"/>
                <w:sz w:val="16"/>
                <w:szCs w:val="16"/>
              </w:rPr>
              <w:t>(-) Destinação para o Fundo de Reserva</w:t>
            </w:r>
            <w:r w:rsidR="00E8184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8D91E" w14:textId="50B6797B" w:rsidR="00FE0C5A" w:rsidRPr="007E7909" w:rsidRDefault="007E7909" w:rsidP="007E7909">
            <w:pPr>
              <w:spacing w:after="0"/>
              <w:jc w:val="right"/>
              <w:rPr>
                <w:rFonts w:ascii="ArialMT" w:hAnsi="ArialMT" w:cs="ArialMT"/>
                <w:kern w:val="0"/>
                <w:sz w:val="16"/>
                <w:szCs w:val="16"/>
              </w:rPr>
            </w:pPr>
            <w:r w:rsidRPr="007E7909">
              <w:rPr>
                <w:rFonts w:ascii="ArialMT" w:hAnsi="ArialMT" w:cs="ArialMT"/>
                <w:kern w:val="0"/>
                <w:sz w:val="16"/>
                <w:szCs w:val="16"/>
              </w:rPr>
              <w:t>(6.755.172,16)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E3CDF" w14:textId="051400AA" w:rsidR="00FE0C5A" w:rsidRDefault="005A1437" w:rsidP="005A1437">
            <w:pPr>
              <w:spacing w:after="0"/>
              <w:jc w:val="right"/>
              <w:rPr>
                <w:rFonts w:eastAsia="Times New Roman"/>
                <w:sz w:val="20"/>
                <w:szCs w:val="20"/>
              </w:rPr>
            </w:pPr>
            <w:r>
              <w:rPr>
                <w:rFonts w:ascii="ArialMT" w:hAnsi="ArialMT" w:cs="ArialMT"/>
                <w:kern w:val="0"/>
                <w:sz w:val="16"/>
                <w:szCs w:val="16"/>
              </w:rPr>
              <w:t>(4.375.564,71)</w:t>
            </w:r>
          </w:p>
        </w:tc>
      </w:tr>
      <w:tr w:rsidR="00FE0C5A" w14:paraId="2259E4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ED8D2F" w14:textId="0D829570" w:rsidR="00FE0C5A" w:rsidRDefault="000C18DB" w:rsidP="00F113BD">
            <w:pPr>
              <w:spacing w:after="0"/>
              <w:rPr>
                <w:rFonts w:eastAsia="Times New Roman"/>
              </w:rPr>
            </w:pPr>
            <w:r>
              <w:rPr>
                <w:rFonts w:ascii="Arial" w:eastAsia="Times New Roman" w:hAnsi="Arial" w:cs="Arial"/>
                <w:sz w:val="16"/>
                <w:szCs w:val="16"/>
              </w:rPr>
              <w:t xml:space="preserve">(-) Destinação para o FATES - </w:t>
            </w:r>
            <w:r>
              <w:rPr>
                <w:rFonts w:ascii="Arial" w:eastAsia="Times New Roman" w:hAnsi="Arial" w:cs="Arial"/>
                <w:sz w:val="16"/>
                <w:szCs w:val="16"/>
              </w:rPr>
              <w:t>atos cooperativos</w:t>
            </w:r>
            <w:r w:rsidR="00E8184F">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E113F" w14:textId="5822F4A6" w:rsidR="00FE0C5A" w:rsidRPr="007E7909" w:rsidRDefault="007E7909" w:rsidP="007E7909">
            <w:pPr>
              <w:spacing w:after="0"/>
              <w:jc w:val="right"/>
              <w:rPr>
                <w:rFonts w:ascii="ArialMT" w:hAnsi="ArialMT" w:cs="ArialMT"/>
                <w:kern w:val="0"/>
                <w:sz w:val="16"/>
                <w:szCs w:val="16"/>
              </w:rPr>
            </w:pPr>
            <w:r w:rsidRPr="007E7909">
              <w:rPr>
                <w:rFonts w:ascii="ArialMT" w:hAnsi="ArialMT" w:cs="ArialMT"/>
                <w:kern w:val="0"/>
                <w:sz w:val="16"/>
                <w:szCs w:val="16"/>
              </w:rPr>
              <w:t>(482.512,30)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8A18A" w14:textId="34FCF8F2" w:rsidR="00FE0C5A" w:rsidRDefault="005A1437" w:rsidP="005A1437">
            <w:pPr>
              <w:spacing w:after="0"/>
              <w:jc w:val="right"/>
              <w:rPr>
                <w:rFonts w:eastAsia="Times New Roman"/>
                <w:sz w:val="20"/>
                <w:szCs w:val="20"/>
              </w:rPr>
            </w:pPr>
            <w:r>
              <w:rPr>
                <w:rFonts w:ascii="ArialMT" w:hAnsi="ArialMT" w:cs="ArialMT"/>
                <w:kern w:val="0"/>
                <w:sz w:val="16"/>
                <w:szCs w:val="16"/>
              </w:rPr>
              <w:t>(729.260,79)</w:t>
            </w:r>
          </w:p>
        </w:tc>
      </w:tr>
      <w:tr w:rsidR="00FE0C5A" w14:paraId="2EA612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BD409A" w14:textId="0A42FB4E" w:rsidR="00FE0C5A" w:rsidRDefault="000C18DB" w:rsidP="00F113BD">
            <w:pPr>
              <w:spacing w:after="0"/>
              <w:rPr>
                <w:rFonts w:eastAsia="Times New Roman"/>
              </w:rPr>
            </w:pPr>
            <w:r>
              <w:rPr>
                <w:rFonts w:ascii="Arial" w:eastAsia="Times New Roman" w:hAnsi="Arial" w:cs="Arial"/>
                <w:b/>
                <w:bCs/>
                <w:sz w:val="16"/>
                <w:szCs w:val="16"/>
              </w:rPr>
              <w:t>Sobras à disposição da Assembleia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45559" w14:textId="7C1D1781" w:rsidR="00FE0C5A" w:rsidRPr="007E7909" w:rsidRDefault="007E7909" w:rsidP="007E7909">
            <w:pPr>
              <w:spacing w:after="0"/>
              <w:jc w:val="right"/>
              <w:rPr>
                <w:rFonts w:ascii="ArialMT" w:hAnsi="ArialMT" w:cs="ArialMT"/>
                <w:b/>
                <w:bCs/>
                <w:kern w:val="0"/>
                <w:sz w:val="16"/>
                <w:szCs w:val="16"/>
              </w:rPr>
            </w:pPr>
            <w:r w:rsidRPr="007E7909">
              <w:rPr>
                <w:rFonts w:ascii="ArialMT" w:hAnsi="ArialMT" w:cs="ArialMT"/>
                <w:b/>
                <w:bCs/>
                <w:kern w:val="0"/>
                <w:sz w:val="16"/>
                <w:szCs w:val="16"/>
              </w:rPr>
              <w:t>2.412.561,48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B13DF" w14:textId="71CFEB05" w:rsidR="00FE0C5A" w:rsidRDefault="005A1437" w:rsidP="005A1437">
            <w:pPr>
              <w:spacing w:after="0"/>
              <w:jc w:val="right"/>
              <w:rPr>
                <w:rFonts w:eastAsia="Times New Roman"/>
                <w:sz w:val="20"/>
                <w:szCs w:val="20"/>
              </w:rPr>
            </w:pPr>
            <w:r>
              <w:rPr>
                <w:rFonts w:ascii="Arial-BoldMT" w:hAnsi="Arial-BoldMT" w:cs="Arial-BoldMT"/>
                <w:b/>
                <w:bCs/>
                <w:kern w:val="0"/>
                <w:sz w:val="16"/>
                <w:szCs w:val="16"/>
              </w:rPr>
              <w:t>2.187.782,35</w:t>
            </w:r>
          </w:p>
        </w:tc>
      </w:tr>
    </w:tbl>
    <w:p w14:paraId="7C8450E6" w14:textId="16E33758" w:rsidR="00FE0C5A" w:rsidRDefault="00FA16BF">
      <w:pPr>
        <w:pStyle w:val="NormalWeb"/>
        <w:jc w:val="both"/>
      </w:pPr>
      <w:r>
        <w:rPr>
          <w:rFonts w:ascii="Arial" w:hAnsi="Arial" w:cs="Arial"/>
          <w:sz w:val="20"/>
          <w:szCs w:val="20"/>
        </w:rPr>
        <w:t xml:space="preserve">a) </w:t>
      </w:r>
      <w:r w:rsidR="007E7909">
        <w:rPr>
          <w:rFonts w:ascii="Arial" w:hAnsi="Arial" w:cs="Arial"/>
          <w:sz w:val="20"/>
          <w:szCs w:val="20"/>
        </w:rPr>
        <w:t>70</w:t>
      </w:r>
      <w:r>
        <w:rPr>
          <w:rFonts w:ascii="Arial" w:hAnsi="Arial" w:cs="Arial"/>
          <w:sz w:val="20"/>
          <w:szCs w:val="20"/>
        </w:rPr>
        <w:t>% para o Fundo de Reserva, sobre a sobras deduzidos a provisão dos Juros sobre o Capital Próprio e FATES de Ato Não Cooperativo (quando positivo), é destinado a reparar perdas e a atender ao desenvolvimento das atividades da cooperativa. A AGO poderá determinar destinação de recurso adicional ao Fundo de Reserva, além das destinações previstas no Estatuto Social.</w:t>
      </w:r>
    </w:p>
    <w:p w14:paraId="60B42767" w14:textId="0BB732E9" w:rsidR="00FE0C5A" w:rsidRDefault="00FA16BF">
      <w:pPr>
        <w:pStyle w:val="NormalWeb"/>
        <w:jc w:val="both"/>
      </w:pPr>
      <w:r>
        <w:rPr>
          <w:rFonts w:ascii="Arial" w:hAnsi="Arial" w:cs="Arial"/>
          <w:sz w:val="20"/>
          <w:szCs w:val="20"/>
        </w:rPr>
        <w:t>b) 5% para o Fundo de Assistência Técnica, Educacional e Social (FATES), sobre a sobras deduzidos a provisão dos Juros sobre o Capital Próprio e FATES Ato Não Cooperativo, é destinado às atividades educacionais, à prestação de assistência aos associados, seus familiares e, quando previsto no estatuto social, aos empregados da Cooperativa.</w:t>
      </w:r>
    </w:p>
    <w:p w14:paraId="668C0E9C" w14:textId="1C93E117" w:rsidR="00FE0C5A" w:rsidRDefault="00E8184F">
      <w:pPr>
        <w:pStyle w:val="NormalWeb"/>
        <w:jc w:val="both"/>
      </w:pPr>
      <w:r>
        <w:rPr>
          <w:rFonts w:ascii="Arial" w:hAnsi="Arial" w:cs="Arial"/>
          <w:b/>
          <w:bCs/>
          <w:sz w:val="20"/>
          <w:szCs w:val="20"/>
        </w:rPr>
        <w:t>e) Juros ao Capital Próprio</w:t>
      </w:r>
    </w:p>
    <w:p w14:paraId="26195D40" w14:textId="48E71C2C" w:rsidR="00FE0C5A" w:rsidRDefault="00C14632">
      <w:pPr>
        <w:pStyle w:val="NormalWeb"/>
        <w:jc w:val="both"/>
      </w:pPr>
      <w:r w:rsidRPr="00C14632">
        <w:rPr>
          <w:rFonts w:ascii="Arial" w:hAnsi="Arial" w:cs="Arial"/>
          <w:sz w:val="20"/>
          <w:szCs w:val="20"/>
        </w:rPr>
        <w:t>A Cooperativa remunerou os juros ao capital próprio ao associado, no percentual de 50% da taxa Selic para o exercício de 2023, no montante de R$ 1.201.142,54 (no exercício de 2022 não houve remuneração de juros sobre o capital). Os critérios para a remuneração obedeceram à Lei Complementar 130, artigo 7º, de 17 de abril de 2009, e seu registro foi realizado conforme Resolução CMN nº 4.872/2020, limitado a 100% da taxa referencial Selic.</w:t>
      </w:r>
    </w:p>
    <w:p w14:paraId="361B2D47" w14:textId="6D276D5A" w:rsidR="00FE0C5A" w:rsidRDefault="000C18DB">
      <w:pPr>
        <w:pStyle w:val="NormalWeb"/>
        <w:jc w:val="both"/>
      </w:pPr>
      <w:r>
        <w:rPr>
          <w:rFonts w:ascii="Arial" w:hAnsi="Arial" w:cs="Arial"/>
          <w:b/>
          <w:bCs/>
          <w:sz w:val="20"/>
          <w:szCs w:val="20"/>
        </w:rPr>
        <w:t>2</w:t>
      </w:r>
      <w:r w:rsidR="00B9449F">
        <w:rPr>
          <w:rFonts w:ascii="Arial" w:hAnsi="Arial" w:cs="Arial"/>
          <w:b/>
          <w:bCs/>
          <w:sz w:val="20"/>
          <w:szCs w:val="20"/>
        </w:rPr>
        <w:t>0</w:t>
      </w:r>
      <w:r>
        <w:rPr>
          <w:rFonts w:ascii="Arial" w:hAnsi="Arial" w:cs="Arial"/>
          <w:b/>
          <w:bCs/>
          <w:sz w:val="20"/>
          <w:szCs w:val="20"/>
        </w:rPr>
        <w:t>. Resultado de Atos Não Cooperativos</w:t>
      </w:r>
    </w:p>
    <w:p w14:paraId="4BA4CC24" w14:textId="77777777" w:rsidR="00FE0C5A" w:rsidRDefault="000C18DB">
      <w:pPr>
        <w:pStyle w:val="NormalWeb"/>
        <w:jc w:val="both"/>
      </w:pPr>
      <w:r>
        <w:rPr>
          <w:rFonts w:ascii="Arial" w:hAnsi="Arial" w:cs="Arial"/>
          <w:sz w:val="20"/>
          <w:szCs w:val="20"/>
        </w:rPr>
        <w:lastRenderedPageBreak/>
        <w:t>São classificados como ato não cooperativo os rendimentos e/ou dispêndios decorrentes de operações realizadas com não associados, sobre os quais há incidência de tributos federais e municipais. Os valores são registrados em separado e o resultado líquido auferido dessas operações, se positivo, é integralmente destinado ao FATES, conforme determina o art. 87 da Lei nº 5.764/1971.</w:t>
      </w:r>
    </w:p>
    <w:p w14:paraId="0C3868A2" w14:textId="56D16A0B" w:rsidR="00FE0C5A" w:rsidRDefault="000C18DB">
      <w:pPr>
        <w:pStyle w:val="NormalWeb"/>
        <w:jc w:val="both"/>
      </w:pPr>
      <w:r>
        <w:rPr>
          <w:rFonts w:ascii="Arial" w:hAnsi="Arial" w:cs="Arial"/>
          <w:sz w:val="20"/>
          <w:szCs w:val="20"/>
        </w:rPr>
        <w:t>Em 31 de dezembro de 2023 e 2022, o resultado de atos não cooperativos possui a seguinte composição:</w:t>
      </w:r>
    </w:p>
    <w:tbl>
      <w:tblPr>
        <w:tblW w:w="5000" w:type="pct"/>
        <w:tblCellMar>
          <w:left w:w="70" w:type="dxa"/>
          <w:right w:w="70" w:type="dxa"/>
        </w:tblCellMar>
        <w:tblLook w:val="04A0" w:firstRow="1" w:lastRow="0" w:firstColumn="1" w:lastColumn="0" w:noHBand="0" w:noVBand="1"/>
      </w:tblPr>
      <w:tblGrid>
        <w:gridCol w:w="5638"/>
        <w:gridCol w:w="1966"/>
        <w:gridCol w:w="2508"/>
      </w:tblGrid>
      <w:tr w:rsidR="009B40DD" w:rsidRPr="009B40DD" w14:paraId="5853D01A" w14:textId="77777777" w:rsidTr="009B40DD">
        <w:trPr>
          <w:trHeight w:val="240"/>
        </w:trPr>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34A47" w14:textId="77777777" w:rsidR="009B40DD" w:rsidRPr="009B40DD" w:rsidRDefault="009B40DD" w:rsidP="009B40DD">
            <w:pPr>
              <w:spacing w:after="0" w:line="240" w:lineRule="auto"/>
              <w:jc w:val="center"/>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Descrição</w:t>
            </w:r>
          </w:p>
        </w:tc>
        <w:tc>
          <w:tcPr>
            <w:tcW w:w="972" w:type="pct"/>
            <w:tcBorders>
              <w:top w:val="single" w:sz="4" w:space="0" w:color="auto"/>
              <w:left w:val="nil"/>
              <w:bottom w:val="single" w:sz="4" w:space="0" w:color="auto"/>
              <w:right w:val="single" w:sz="4" w:space="0" w:color="auto"/>
            </w:tcBorders>
            <w:shd w:val="clear" w:color="auto" w:fill="auto"/>
            <w:vAlign w:val="center"/>
            <w:hideMark/>
          </w:tcPr>
          <w:p w14:paraId="40F56B2C" w14:textId="77777777" w:rsidR="009B40DD" w:rsidRPr="009B40DD" w:rsidRDefault="009B40DD" w:rsidP="009B40DD">
            <w:pPr>
              <w:spacing w:after="0" w:line="240" w:lineRule="auto"/>
              <w:jc w:val="center"/>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31/12/2023</w:t>
            </w:r>
          </w:p>
        </w:tc>
        <w:tc>
          <w:tcPr>
            <w:tcW w:w="1240" w:type="pct"/>
            <w:tcBorders>
              <w:top w:val="single" w:sz="4" w:space="0" w:color="auto"/>
              <w:left w:val="nil"/>
              <w:bottom w:val="single" w:sz="4" w:space="0" w:color="auto"/>
              <w:right w:val="single" w:sz="4" w:space="0" w:color="auto"/>
            </w:tcBorders>
            <w:shd w:val="clear" w:color="auto" w:fill="auto"/>
            <w:vAlign w:val="center"/>
            <w:hideMark/>
          </w:tcPr>
          <w:p w14:paraId="221D47AF" w14:textId="77777777" w:rsidR="009B40DD" w:rsidRPr="009B40DD" w:rsidRDefault="009B40DD" w:rsidP="009B40DD">
            <w:pPr>
              <w:spacing w:after="0" w:line="240" w:lineRule="auto"/>
              <w:jc w:val="center"/>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31/12/2022</w:t>
            </w:r>
          </w:p>
        </w:tc>
      </w:tr>
      <w:tr w:rsidR="009B40DD" w:rsidRPr="009B40DD" w14:paraId="7B88D9C1" w14:textId="77777777" w:rsidTr="009B40DD">
        <w:trPr>
          <w:trHeight w:val="225"/>
        </w:trPr>
        <w:tc>
          <w:tcPr>
            <w:tcW w:w="2788" w:type="pct"/>
            <w:tcBorders>
              <w:top w:val="nil"/>
              <w:left w:val="single" w:sz="4" w:space="0" w:color="auto"/>
              <w:bottom w:val="single" w:sz="4" w:space="0" w:color="auto"/>
              <w:right w:val="single" w:sz="4" w:space="0" w:color="auto"/>
            </w:tcBorders>
            <w:shd w:val="clear" w:color="auto" w:fill="auto"/>
            <w:vAlign w:val="center"/>
            <w:hideMark/>
          </w:tcPr>
          <w:p w14:paraId="226352E2" w14:textId="77777777" w:rsidR="009B40DD" w:rsidRPr="009B40DD" w:rsidRDefault="009B40DD" w:rsidP="009B40DD">
            <w:pPr>
              <w:spacing w:after="0" w:line="240" w:lineRule="auto"/>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Receita de prestação de serviços</w:t>
            </w:r>
          </w:p>
        </w:tc>
        <w:tc>
          <w:tcPr>
            <w:tcW w:w="972" w:type="pct"/>
            <w:tcBorders>
              <w:top w:val="nil"/>
              <w:left w:val="nil"/>
              <w:bottom w:val="single" w:sz="4" w:space="0" w:color="auto"/>
              <w:right w:val="single" w:sz="4" w:space="0" w:color="auto"/>
            </w:tcBorders>
            <w:shd w:val="clear" w:color="auto" w:fill="auto"/>
            <w:noWrap/>
            <w:vAlign w:val="center"/>
            <w:hideMark/>
          </w:tcPr>
          <w:p w14:paraId="576F6EFC" w14:textId="77777777" w:rsidR="009B40DD" w:rsidRPr="009B40DD" w:rsidRDefault="009B40DD" w:rsidP="009B40DD">
            <w:pPr>
              <w:spacing w:after="0" w:line="240" w:lineRule="auto"/>
              <w:jc w:val="right"/>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 xml:space="preserve">3.236.569,12 </w:t>
            </w:r>
          </w:p>
        </w:tc>
        <w:tc>
          <w:tcPr>
            <w:tcW w:w="1240" w:type="pct"/>
            <w:tcBorders>
              <w:top w:val="nil"/>
              <w:left w:val="nil"/>
              <w:bottom w:val="single" w:sz="4" w:space="0" w:color="auto"/>
              <w:right w:val="single" w:sz="4" w:space="0" w:color="auto"/>
            </w:tcBorders>
            <w:shd w:val="clear" w:color="auto" w:fill="auto"/>
            <w:noWrap/>
            <w:vAlign w:val="center"/>
            <w:hideMark/>
          </w:tcPr>
          <w:p w14:paraId="69018CF1" w14:textId="77777777" w:rsidR="009B40DD" w:rsidRPr="009B40DD" w:rsidRDefault="009B40DD" w:rsidP="009B40DD">
            <w:pPr>
              <w:spacing w:after="0" w:line="240" w:lineRule="auto"/>
              <w:jc w:val="right"/>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 xml:space="preserve">3.170.741,00 </w:t>
            </w:r>
          </w:p>
        </w:tc>
      </w:tr>
      <w:tr w:rsidR="009B40DD" w:rsidRPr="009B40DD" w14:paraId="28440B98" w14:textId="77777777" w:rsidTr="009B40DD">
        <w:trPr>
          <w:trHeight w:val="225"/>
        </w:trPr>
        <w:tc>
          <w:tcPr>
            <w:tcW w:w="2788" w:type="pct"/>
            <w:tcBorders>
              <w:top w:val="nil"/>
              <w:left w:val="single" w:sz="4" w:space="0" w:color="auto"/>
              <w:bottom w:val="single" w:sz="4" w:space="0" w:color="auto"/>
              <w:right w:val="single" w:sz="4" w:space="0" w:color="auto"/>
            </w:tcBorders>
            <w:shd w:val="clear" w:color="auto" w:fill="auto"/>
            <w:vAlign w:val="center"/>
            <w:hideMark/>
          </w:tcPr>
          <w:p w14:paraId="4C16CA02" w14:textId="77777777" w:rsidR="009B40DD" w:rsidRPr="009B40DD" w:rsidRDefault="009B40DD" w:rsidP="009B40DD">
            <w:pPr>
              <w:spacing w:after="0" w:line="240" w:lineRule="auto"/>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Despesas específicas de atos não cooperativos</w:t>
            </w:r>
          </w:p>
        </w:tc>
        <w:tc>
          <w:tcPr>
            <w:tcW w:w="972" w:type="pct"/>
            <w:tcBorders>
              <w:top w:val="nil"/>
              <w:left w:val="nil"/>
              <w:bottom w:val="single" w:sz="4" w:space="0" w:color="auto"/>
              <w:right w:val="single" w:sz="4" w:space="0" w:color="auto"/>
            </w:tcBorders>
            <w:shd w:val="clear" w:color="auto" w:fill="auto"/>
            <w:noWrap/>
            <w:vAlign w:val="center"/>
            <w:hideMark/>
          </w:tcPr>
          <w:p w14:paraId="2150832C" w14:textId="77777777" w:rsidR="009B40DD" w:rsidRPr="009B40DD" w:rsidRDefault="009B40DD" w:rsidP="009B40DD">
            <w:pPr>
              <w:spacing w:after="0" w:line="240" w:lineRule="auto"/>
              <w:jc w:val="right"/>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 xml:space="preserve">(1.125.998,16) </w:t>
            </w:r>
          </w:p>
        </w:tc>
        <w:tc>
          <w:tcPr>
            <w:tcW w:w="1240" w:type="pct"/>
            <w:tcBorders>
              <w:top w:val="nil"/>
              <w:left w:val="nil"/>
              <w:bottom w:val="single" w:sz="4" w:space="0" w:color="auto"/>
              <w:right w:val="single" w:sz="4" w:space="0" w:color="auto"/>
            </w:tcBorders>
            <w:shd w:val="clear" w:color="auto" w:fill="auto"/>
            <w:noWrap/>
            <w:vAlign w:val="center"/>
            <w:hideMark/>
          </w:tcPr>
          <w:p w14:paraId="28C4FDA9" w14:textId="77777777" w:rsidR="009B40DD" w:rsidRPr="009B40DD" w:rsidRDefault="009B40DD" w:rsidP="009B40DD">
            <w:pPr>
              <w:spacing w:after="0" w:line="240" w:lineRule="auto"/>
              <w:jc w:val="right"/>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 xml:space="preserve">(572.519,85) </w:t>
            </w:r>
          </w:p>
        </w:tc>
      </w:tr>
      <w:tr w:rsidR="009B40DD" w:rsidRPr="009B40DD" w14:paraId="3D252349" w14:textId="77777777" w:rsidTr="009B40DD">
        <w:trPr>
          <w:trHeight w:val="450"/>
        </w:trPr>
        <w:tc>
          <w:tcPr>
            <w:tcW w:w="2788" w:type="pct"/>
            <w:tcBorders>
              <w:top w:val="nil"/>
              <w:left w:val="single" w:sz="4" w:space="0" w:color="auto"/>
              <w:bottom w:val="single" w:sz="4" w:space="0" w:color="auto"/>
              <w:right w:val="single" w:sz="4" w:space="0" w:color="auto"/>
            </w:tcBorders>
            <w:shd w:val="clear" w:color="auto" w:fill="auto"/>
            <w:vAlign w:val="center"/>
            <w:hideMark/>
          </w:tcPr>
          <w:p w14:paraId="557D9FD5" w14:textId="77777777" w:rsidR="009B40DD" w:rsidRPr="009B40DD" w:rsidRDefault="009B40DD" w:rsidP="009B40DD">
            <w:pPr>
              <w:spacing w:after="0" w:line="240" w:lineRule="auto"/>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Despesas apropriadas na proporção das receitas de atos não cooperativos</w:t>
            </w:r>
          </w:p>
        </w:tc>
        <w:tc>
          <w:tcPr>
            <w:tcW w:w="972" w:type="pct"/>
            <w:tcBorders>
              <w:top w:val="nil"/>
              <w:left w:val="nil"/>
              <w:bottom w:val="single" w:sz="4" w:space="0" w:color="auto"/>
              <w:right w:val="single" w:sz="4" w:space="0" w:color="auto"/>
            </w:tcBorders>
            <w:shd w:val="clear" w:color="auto" w:fill="auto"/>
            <w:noWrap/>
            <w:vAlign w:val="center"/>
            <w:hideMark/>
          </w:tcPr>
          <w:p w14:paraId="4F699182" w14:textId="77777777" w:rsidR="009B40DD" w:rsidRPr="009B40DD" w:rsidRDefault="009B40DD" w:rsidP="009B40DD">
            <w:pPr>
              <w:spacing w:after="0" w:line="240" w:lineRule="auto"/>
              <w:jc w:val="right"/>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 xml:space="preserve">(860.262,08) </w:t>
            </w:r>
          </w:p>
        </w:tc>
        <w:tc>
          <w:tcPr>
            <w:tcW w:w="1240" w:type="pct"/>
            <w:tcBorders>
              <w:top w:val="nil"/>
              <w:left w:val="nil"/>
              <w:bottom w:val="single" w:sz="4" w:space="0" w:color="auto"/>
              <w:right w:val="single" w:sz="4" w:space="0" w:color="auto"/>
            </w:tcBorders>
            <w:shd w:val="clear" w:color="auto" w:fill="auto"/>
            <w:noWrap/>
            <w:vAlign w:val="center"/>
            <w:hideMark/>
          </w:tcPr>
          <w:p w14:paraId="20000DFB" w14:textId="77777777" w:rsidR="009B40DD" w:rsidRPr="009B40DD" w:rsidRDefault="009B40DD" w:rsidP="009B40DD">
            <w:pPr>
              <w:spacing w:after="0" w:line="240" w:lineRule="auto"/>
              <w:jc w:val="right"/>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 xml:space="preserve">(946.905,56) </w:t>
            </w:r>
          </w:p>
        </w:tc>
      </w:tr>
      <w:tr w:rsidR="009B40DD" w:rsidRPr="009B40DD" w14:paraId="2EF3E8DE" w14:textId="77777777" w:rsidTr="009B40DD">
        <w:trPr>
          <w:trHeight w:val="225"/>
        </w:trPr>
        <w:tc>
          <w:tcPr>
            <w:tcW w:w="2788" w:type="pct"/>
            <w:tcBorders>
              <w:top w:val="nil"/>
              <w:left w:val="single" w:sz="4" w:space="0" w:color="auto"/>
              <w:bottom w:val="single" w:sz="4" w:space="0" w:color="auto"/>
              <w:right w:val="single" w:sz="4" w:space="0" w:color="auto"/>
            </w:tcBorders>
            <w:shd w:val="clear" w:color="auto" w:fill="auto"/>
            <w:vAlign w:val="center"/>
            <w:hideMark/>
          </w:tcPr>
          <w:p w14:paraId="54C77DD6" w14:textId="77777777" w:rsidR="009B40DD" w:rsidRPr="009B40DD" w:rsidRDefault="009B40DD" w:rsidP="009B40DD">
            <w:pPr>
              <w:spacing w:after="0" w:line="240" w:lineRule="auto"/>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Resultado operacional</w:t>
            </w:r>
          </w:p>
        </w:tc>
        <w:tc>
          <w:tcPr>
            <w:tcW w:w="972" w:type="pct"/>
            <w:tcBorders>
              <w:top w:val="nil"/>
              <w:left w:val="nil"/>
              <w:bottom w:val="single" w:sz="4" w:space="0" w:color="auto"/>
              <w:right w:val="single" w:sz="4" w:space="0" w:color="auto"/>
            </w:tcBorders>
            <w:shd w:val="clear" w:color="auto" w:fill="auto"/>
            <w:noWrap/>
            <w:vAlign w:val="center"/>
            <w:hideMark/>
          </w:tcPr>
          <w:p w14:paraId="04335E2D" w14:textId="77777777" w:rsidR="009B40DD" w:rsidRPr="009B40DD" w:rsidRDefault="009B40DD" w:rsidP="009B40DD">
            <w:pPr>
              <w:spacing w:after="0" w:line="240" w:lineRule="auto"/>
              <w:jc w:val="right"/>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 xml:space="preserve">1.250.308,88 </w:t>
            </w:r>
          </w:p>
        </w:tc>
        <w:tc>
          <w:tcPr>
            <w:tcW w:w="1240" w:type="pct"/>
            <w:tcBorders>
              <w:top w:val="nil"/>
              <w:left w:val="nil"/>
              <w:bottom w:val="single" w:sz="4" w:space="0" w:color="auto"/>
              <w:right w:val="single" w:sz="4" w:space="0" w:color="auto"/>
            </w:tcBorders>
            <w:shd w:val="clear" w:color="auto" w:fill="auto"/>
            <w:noWrap/>
            <w:vAlign w:val="center"/>
            <w:hideMark/>
          </w:tcPr>
          <w:p w14:paraId="41B0993F" w14:textId="77777777" w:rsidR="009B40DD" w:rsidRPr="009B40DD" w:rsidRDefault="009B40DD" w:rsidP="009B40DD">
            <w:pPr>
              <w:spacing w:after="0" w:line="240" w:lineRule="auto"/>
              <w:jc w:val="right"/>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 xml:space="preserve">1.651.315,59 </w:t>
            </w:r>
          </w:p>
        </w:tc>
      </w:tr>
      <w:tr w:rsidR="009B40DD" w:rsidRPr="009B40DD" w14:paraId="01586E92" w14:textId="77777777" w:rsidTr="009B40DD">
        <w:trPr>
          <w:trHeight w:val="225"/>
        </w:trPr>
        <w:tc>
          <w:tcPr>
            <w:tcW w:w="2788" w:type="pct"/>
            <w:tcBorders>
              <w:top w:val="nil"/>
              <w:left w:val="single" w:sz="4" w:space="0" w:color="auto"/>
              <w:bottom w:val="single" w:sz="4" w:space="0" w:color="auto"/>
              <w:right w:val="single" w:sz="4" w:space="0" w:color="auto"/>
            </w:tcBorders>
            <w:shd w:val="clear" w:color="auto" w:fill="auto"/>
            <w:vAlign w:val="center"/>
            <w:hideMark/>
          </w:tcPr>
          <w:p w14:paraId="5E396476" w14:textId="77777777" w:rsidR="009B40DD" w:rsidRPr="009B40DD" w:rsidRDefault="009B40DD" w:rsidP="009B40DD">
            <w:pPr>
              <w:spacing w:after="0" w:line="240" w:lineRule="auto"/>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Receitas (despesas) não operacionais, líquidas</w:t>
            </w:r>
          </w:p>
        </w:tc>
        <w:tc>
          <w:tcPr>
            <w:tcW w:w="972" w:type="pct"/>
            <w:tcBorders>
              <w:top w:val="nil"/>
              <w:left w:val="nil"/>
              <w:bottom w:val="single" w:sz="4" w:space="0" w:color="auto"/>
              <w:right w:val="single" w:sz="4" w:space="0" w:color="auto"/>
            </w:tcBorders>
            <w:shd w:val="clear" w:color="auto" w:fill="auto"/>
            <w:noWrap/>
            <w:vAlign w:val="center"/>
            <w:hideMark/>
          </w:tcPr>
          <w:p w14:paraId="5ACFFE93" w14:textId="77777777" w:rsidR="009B40DD" w:rsidRPr="009B40DD" w:rsidRDefault="009B40DD" w:rsidP="009B40DD">
            <w:pPr>
              <w:spacing w:after="0" w:line="240" w:lineRule="auto"/>
              <w:jc w:val="right"/>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 xml:space="preserve">41.669,40 </w:t>
            </w:r>
          </w:p>
        </w:tc>
        <w:tc>
          <w:tcPr>
            <w:tcW w:w="1240" w:type="pct"/>
            <w:tcBorders>
              <w:top w:val="nil"/>
              <w:left w:val="nil"/>
              <w:bottom w:val="single" w:sz="4" w:space="0" w:color="auto"/>
              <w:right w:val="single" w:sz="4" w:space="0" w:color="auto"/>
            </w:tcBorders>
            <w:shd w:val="clear" w:color="auto" w:fill="auto"/>
            <w:noWrap/>
            <w:vAlign w:val="center"/>
            <w:hideMark/>
          </w:tcPr>
          <w:p w14:paraId="786622F8" w14:textId="77777777" w:rsidR="009B40DD" w:rsidRPr="009B40DD" w:rsidRDefault="009B40DD" w:rsidP="009B40DD">
            <w:pPr>
              <w:spacing w:after="0" w:line="240" w:lineRule="auto"/>
              <w:jc w:val="right"/>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 xml:space="preserve">(39.593,70) </w:t>
            </w:r>
          </w:p>
        </w:tc>
      </w:tr>
      <w:tr w:rsidR="009B40DD" w:rsidRPr="009B40DD" w14:paraId="29230828" w14:textId="77777777" w:rsidTr="009B40DD">
        <w:trPr>
          <w:trHeight w:val="450"/>
        </w:trPr>
        <w:tc>
          <w:tcPr>
            <w:tcW w:w="2788" w:type="pct"/>
            <w:tcBorders>
              <w:top w:val="nil"/>
              <w:left w:val="single" w:sz="4" w:space="0" w:color="auto"/>
              <w:bottom w:val="single" w:sz="4" w:space="0" w:color="auto"/>
              <w:right w:val="single" w:sz="4" w:space="0" w:color="auto"/>
            </w:tcBorders>
            <w:shd w:val="clear" w:color="auto" w:fill="auto"/>
            <w:vAlign w:val="center"/>
            <w:hideMark/>
          </w:tcPr>
          <w:p w14:paraId="38968EDD" w14:textId="77777777" w:rsidR="009B40DD" w:rsidRPr="009B40DD" w:rsidRDefault="009B40DD" w:rsidP="009B40DD">
            <w:pPr>
              <w:spacing w:after="0" w:line="240" w:lineRule="auto"/>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Lucro antes do imposto de renda e da contribuição social</w:t>
            </w:r>
          </w:p>
        </w:tc>
        <w:tc>
          <w:tcPr>
            <w:tcW w:w="972" w:type="pct"/>
            <w:tcBorders>
              <w:top w:val="nil"/>
              <w:left w:val="nil"/>
              <w:bottom w:val="single" w:sz="4" w:space="0" w:color="auto"/>
              <w:right w:val="single" w:sz="4" w:space="0" w:color="auto"/>
            </w:tcBorders>
            <w:shd w:val="clear" w:color="auto" w:fill="auto"/>
            <w:noWrap/>
            <w:vAlign w:val="center"/>
            <w:hideMark/>
          </w:tcPr>
          <w:p w14:paraId="02F37421" w14:textId="77777777" w:rsidR="009B40DD" w:rsidRPr="009B40DD" w:rsidRDefault="009B40DD" w:rsidP="009B40DD">
            <w:pPr>
              <w:spacing w:after="0" w:line="240" w:lineRule="auto"/>
              <w:jc w:val="right"/>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 xml:space="preserve">1.291.978,28 </w:t>
            </w:r>
          </w:p>
        </w:tc>
        <w:tc>
          <w:tcPr>
            <w:tcW w:w="1240" w:type="pct"/>
            <w:tcBorders>
              <w:top w:val="nil"/>
              <w:left w:val="nil"/>
              <w:bottom w:val="single" w:sz="4" w:space="0" w:color="auto"/>
              <w:right w:val="single" w:sz="4" w:space="0" w:color="auto"/>
            </w:tcBorders>
            <w:shd w:val="clear" w:color="auto" w:fill="auto"/>
            <w:noWrap/>
            <w:vAlign w:val="center"/>
            <w:hideMark/>
          </w:tcPr>
          <w:p w14:paraId="50BACBA3" w14:textId="77777777" w:rsidR="009B40DD" w:rsidRPr="009B40DD" w:rsidRDefault="009B40DD" w:rsidP="009B40DD">
            <w:pPr>
              <w:spacing w:after="0" w:line="240" w:lineRule="auto"/>
              <w:jc w:val="right"/>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 xml:space="preserve">1.611.721,89 </w:t>
            </w:r>
          </w:p>
        </w:tc>
      </w:tr>
      <w:tr w:rsidR="009B40DD" w:rsidRPr="009B40DD" w14:paraId="14379EB6" w14:textId="77777777" w:rsidTr="009B40DD">
        <w:trPr>
          <w:trHeight w:val="225"/>
        </w:trPr>
        <w:tc>
          <w:tcPr>
            <w:tcW w:w="2788" w:type="pct"/>
            <w:tcBorders>
              <w:top w:val="nil"/>
              <w:left w:val="single" w:sz="4" w:space="0" w:color="auto"/>
              <w:bottom w:val="single" w:sz="4" w:space="0" w:color="auto"/>
              <w:right w:val="single" w:sz="4" w:space="0" w:color="auto"/>
            </w:tcBorders>
            <w:shd w:val="clear" w:color="auto" w:fill="auto"/>
            <w:vAlign w:val="center"/>
            <w:hideMark/>
          </w:tcPr>
          <w:p w14:paraId="3FFCAC24" w14:textId="77777777" w:rsidR="009B40DD" w:rsidRPr="009B40DD" w:rsidRDefault="009B40DD" w:rsidP="009B40DD">
            <w:pPr>
              <w:spacing w:after="0" w:line="240" w:lineRule="auto"/>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IRPJ/CSLL</w:t>
            </w:r>
          </w:p>
        </w:tc>
        <w:tc>
          <w:tcPr>
            <w:tcW w:w="972" w:type="pct"/>
            <w:tcBorders>
              <w:top w:val="nil"/>
              <w:left w:val="nil"/>
              <w:bottom w:val="single" w:sz="4" w:space="0" w:color="auto"/>
              <w:right w:val="single" w:sz="4" w:space="0" w:color="auto"/>
            </w:tcBorders>
            <w:shd w:val="clear" w:color="auto" w:fill="auto"/>
            <w:noWrap/>
            <w:vAlign w:val="center"/>
            <w:hideMark/>
          </w:tcPr>
          <w:p w14:paraId="5B64B11A" w14:textId="77777777" w:rsidR="009B40DD" w:rsidRPr="009B40DD" w:rsidRDefault="009B40DD" w:rsidP="009B40DD">
            <w:pPr>
              <w:spacing w:after="0" w:line="240" w:lineRule="auto"/>
              <w:jc w:val="right"/>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 xml:space="preserve">(42.046,02) </w:t>
            </w:r>
          </w:p>
        </w:tc>
        <w:tc>
          <w:tcPr>
            <w:tcW w:w="1240" w:type="pct"/>
            <w:tcBorders>
              <w:top w:val="nil"/>
              <w:left w:val="nil"/>
              <w:bottom w:val="single" w:sz="4" w:space="0" w:color="auto"/>
              <w:right w:val="single" w:sz="4" w:space="0" w:color="auto"/>
            </w:tcBorders>
            <w:shd w:val="clear" w:color="auto" w:fill="auto"/>
            <w:noWrap/>
            <w:vAlign w:val="center"/>
            <w:hideMark/>
          </w:tcPr>
          <w:p w14:paraId="40EB0BFC" w14:textId="77777777" w:rsidR="009B40DD" w:rsidRPr="009B40DD" w:rsidRDefault="009B40DD" w:rsidP="009B40DD">
            <w:pPr>
              <w:spacing w:after="0" w:line="240" w:lineRule="auto"/>
              <w:jc w:val="right"/>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 xml:space="preserve">(646.997,51) </w:t>
            </w:r>
          </w:p>
        </w:tc>
      </w:tr>
      <w:tr w:rsidR="009B40DD" w:rsidRPr="009B40DD" w14:paraId="5500E4F6" w14:textId="77777777" w:rsidTr="009B40DD">
        <w:trPr>
          <w:trHeight w:val="225"/>
        </w:trPr>
        <w:tc>
          <w:tcPr>
            <w:tcW w:w="2788" w:type="pct"/>
            <w:tcBorders>
              <w:top w:val="nil"/>
              <w:left w:val="single" w:sz="4" w:space="0" w:color="auto"/>
              <w:bottom w:val="single" w:sz="4" w:space="0" w:color="auto"/>
              <w:right w:val="single" w:sz="4" w:space="0" w:color="auto"/>
            </w:tcBorders>
            <w:shd w:val="clear" w:color="auto" w:fill="auto"/>
            <w:vAlign w:val="center"/>
            <w:hideMark/>
          </w:tcPr>
          <w:p w14:paraId="34D06FA1" w14:textId="4A13649D" w:rsidR="009B40DD" w:rsidRPr="009B40DD" w:rsidRDefault="009B40DD" w:rsidP="009B40DD">
            <w:pPr>
              <w:spacing w:after="0" w:line="240" w:lineRule="auto"/>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Deduções - Res. Sicoob 129/16 e 145/16</w:t>
            </w:r>
            <w:r>
              <w:rPr>
                <w:rFonts w:ascii="Arial" w:eastAsia="Times New Roman" w:hAnsi="Arial" w:cs="Arial"/>
                <w:color w:val="000000"/>
                <w:kern w:val="0"/>
                <w:sz w:val="16"/>
                <w:szCs w:val="16"/>
                <w14:ligatures w14:val="none"/>
              </w:rPr>
              <w:t xml:space="preserve"> (a)</w:t>
            </w:r>
          </w:p>
        </w:tc>
        <w:tc>
          <w:tcPr>
            <w:tcW w:w="972" w:type="pct"/>
            <w:tcBorders>
              <w:top w:val="nil"/>
              <w:left w:val="nil"/>
              <w:bottom w:val="single" w:sz="4" w:space="0" w:color="auto"/>
              <w:right w:val="single" w:sz="4" w:space="0" w:color="auto"/>
            </w:tcBorders>
            <w:shd w:val="clear" w:color="auto" w:fill="auto"/>
            <w:noWrap/>
            <w:vAlign w:val="center"/>
            <w:hideMark/>
          </w:tcPr>
          <w:p w14:paraId="3B574037" w14:textId="77777777" w:rsidR="009B40DD" w:rsidRPr="009B40DD" w:rsidRDefault="009B40DD" w:rsidP="009B40DD">
            <w:pPr>
              <w:spacing w:after="0" w:line="240" w:lineRule="auto"/>
              <w:jc w:val="right"/>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 xml:space="preserve">(2.006.122,01) </w:t>
            </w:r>
          </w:p>
        </w:tc>
        <w:tc>
          <w:tcPr>
            <w:tcW w:w="1240" w:type="pct"/>
            <w:tcBorders>
              <w:top w:val="nil"/>
              <w:left w:val="nil"/>
              <w:bottom w:val="single" w:sz="4" w:space="0" w:color="auto"/>
              <w:right w:val="single" w:sz="4" w:space="0" w:color="auto"/>
            </w:tcBorders>
            <w:shd w:val="clear" w:color="auto" w:fill="auto"/>
            <w:noWrap/>
            <w:vAlign w:val="center"/>
            <w:hideMark/>
          </w:tcPr>
          <w:p w14:paraId="1D4757D2" w14:textId="77777777" w:rsidR="009B40DD" w:rsidRPr="009B40DD" w:rsidRDefault="009B40DD" w:rsidP="009B40DD">
            <w:pPr>
              <w:spacing w:after="0" w:line="240" w:lineRule="auto"/>
              <w:jc w:val="right"/>
              <w:rPr>
                <w:rFonts w:ascii="Arial" w:eastAsia="Times New Roman" w:hAnsi="Arial" w:cs="Arial"/>
                <w:color w:val="000000"/>
                <w:kern w:val="0"/>
                <w:sz w:val="16"/>
                <w:szCs w:val="16"/>
                <w14:ligatures w14:val="none"/>
              </w:rPr>
            </w:pPr>
            <w:r w:rsidRPr="009B40DD">
              <w:rPr>
                <w:rFonts w:ascii="Arial" w:eastAsia="Times New Roman" w:hAnsi="Arial" w:cs="Arial"/>
                <w:color w:val="000000"/>
                <w:kern w:val="0"/>
                <w:sz w:val="16"/>
                <w:szCs w:val="16"/>
                <w14:ligatures w14:val="none"/>
              </w:rPr>
              <w:t xml:space="preserve">(1.014.166,38) </w:t>
            </w:r>
          </w:p>
        </w:tc>
      </w:tr>
      <w:tr w:rsidR="009B40DD" w:rsidRPr="009B40DD" w14:paraId="5FA27A6B" w14:textId="77777777" w:rsidTr="009B40DD">
        <w:trPr>
          <w:trHeight w:val="225"/>
        </w:trPr>
        <w:tc>
          <w:tcPr>
            <w:tcW w:w="2788" w:type="pct"/>
            <w:tcBorders>
              <w:top w:val="nil"/>
              <w:left w:val="single" w:sz="4" w:space="0" w:color="auto"/>
              <w:bottom w:val="single" w:sz="4" w:space="0" w:color="auto"/>
              <w:right w:val="single" w:sz="4" w:space="0" w:color="auto"/>
            </w:tcBorders>
            <w:shd w:val="clear" w:color="auto" w:fill="auto"/>
            <w:vAlign w:val="center"/>
            <w:hideMark/>
          </w:tcPr>
          <w:p w14:paraId="1E5C8AC2" w14:textId="77777777" w:rsidR="009B40DD" w:rsidRPr="009B40DD" w:rsidRDefault="009B40DD" w:rsidP="009B40DD">
            <w:pPr>
              <w:spacing w:after="0" w:line="240" w:lineRule="auto"/>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Resultado de atos não cooperativos (lucro líquido)</w:t>
            </w:r>
          </w:p>
        </w:tc>
        <w:tc>
          <w:tcPr>
            <w:tcW w:w="972" w:type="pct"/>
            <w:tcBorders>
              <w:top w:val="nil"/>
              <w:left w:val="nil"/>
              <w:bottom w:val="single" w:sz="4" w:space="0" w:color="auto"/>
              <w:right w:val="single" w:sz="4" w:space="0" w:color="auto"/>
            </w:tcBorders>
            <w:shd w:val="clear" w:color="auto" w:fill="auto"/>
            <w:noWrap/>
            <w:vAlign w:val="center"/>
            <w:hideMark/>
          </w:tcPr>
          <w:p w14:paraId="5F4402B3" w14:textId="77777777" w:rsidR="009B40DD" w:rsidRPr="009B40DD" w:rsidRDefault="009B40DD" w:rsidP="009B40DD">
            <w:pPr>
              <w:spacing w:after="0" w:line="240" w:lineRule="auto"/>
              <w:jc w:val="right"/>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 xml:space="preserve">(756.189,76) </w:t>
            </w:r>
          </w:p>
        </w:tc>
        <w:tc>
          <w:tcPr>
            <w:tcW w:w="1240" w:type="pct"/>
            <w:tcBorders>
              <w:top w:val="nil"/>
              <w:left w:val="nil"/>
              <w:bottom w:val="single" w:sz="4" w:space="0" w:color="auto"/>
              <w:right w:val="single" w:sz="4" w:space="0" w:color="auto"/>
            </w:tcBorders>
            <w:shd w:val="clear" w:color="auto" w:fill="auto"/>
            <w:noWrap/>
            <w:vAlign w:val="center"/>
            <w:hideMark/>
          </w:tcPr>
          <w:p w14:paraId="4F287F24" w14:textId="77777777" w:rsidR="009B40DD" w:rsidRPr="009B40DD" w:rsidRDefault="009B40DD" w:rsidP="009B40DD">
            <w:pPr>
              <w:spacing w:after="0" w:line="240" w:lineRule="auto"/>
              <w:jc w:val="right"/>
              <w:rPr>
                <w:rFonts w:ascii="Arial" w:eastAsia="Times New Roman" w:hAnsi="Arial" w:cs="Arial"/>
                <w:b/>
                <w:bCs/>
                <w:color w:val="000000"/>
                <w:kern w:val="0"/>
                <w:sz w:val="16"/>
                <w:szCs w:val="16"/>
                <w14:ligatures w14:val="none"/>
              </w:rPr>
            </w:pPr>
            <w:r w:rsidRPr="009B40DD">
              <w:rPr>
                <w:rFonts w:ascii="Arial" w:eastAsia="Times New Roman" w:hAnsi="Arial" w:cs="Arial"/>
                <w:b/>
                <w:bCs/>
                <w:color w:val="000000"/>
                <w:kern w:val="0"/>
                <w:sz w:val="16"/>
                <w:szCs w:val="16"/>
                <w14:ligatures w14:val="none"/>
              </w:rPr>
              <w:t xml:space="preserve">(49.442,00) </w:t>
            </w:r>
          </w:p>
        </w:tc>
      </w:tr>
    </w:tbl>
    <w:p w14:paraId="17F38DE1" w14:textId="77777777" w:rsidR="00FE0C5A" w:rsidRDefault="000C18DB">
      <w:pPr>
        <w:pStyle w:val="NormalWeb"/>
        <w:jc w:val="both"/>
      </w:pPr>
      <w:r>
        <w:rPr>
          <w:rFonts w:ascii="Arial" w:hAnsi="Arial" w:cs="Arial"/>
          <w:sz w:val="20"/>
          <w:szCs w:val="20"/>
        </w:rPr>
        <w:t>(a) Saldo composto por rendas de comissionamento auferidas na comercialização pela cooperativa de produtos de terceiros aos seus associados (consórcios, seguros e maquininhas de cartões - SIPAG). Tais rendas compõe a base de tributação, por questões específicas à legislação tributária, contudo, por se originarem do relacionamento com os associados da cooperativa, não são destinadas ao Fates de Resultados com Não Associados.</w:t>
      </w:r>
    </w:p>
    <w:p w14:paraId="7596A243" w14:textId="09E1DEC0" w:rsidR="00FE0C5A" w:rsidRDefault="000C18DB">
      <w:pPr>
        <w:pStyle w:val="NormalWeb"/>
        <w:jc w:val="both"/>
      </w:pPr>
      <w:r>
        <w:rPr>
          <w:rFonts w:ascii="Arial" w:hAnsi="Arial" w:cs="Arial"/>
          <w:b/>
          <w:bCs/>
          <w:sz w:val="20"/>
          <w:szCs w:val="20"/>
        </w:rPr>
        <w:t>2</w:t>
      </w:r>
      <w:r w:rsidR="00663642">
        <w:rPr>
          <w:rFonts w:ascii="Arial" w:hAnsi="Arial" w:cs="Arial"/>
          <w:b/>
          <w:bCs/>
          <w:sz w:val="20"/>
          <w:szCs w:val="20"/>
        </w:rPr>
        <w:t>1</w:t>
      </w:r>
      <w:r>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6455"/>
        <w:gridCol w:w="1171"/>
        <w:gridCol w:w="1181"/>
        <w:gridCol w:w="1181"/>
      </w:tblGrid>
      <w:tr w:rsidR="00FE0C5A" w14:paraId="146994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DBE704"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A55E6"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E4366"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CA101"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6BBDD0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6D3D9A" w14:textId="77777777" w:rsidR="00FE0C5A" w:rsidRDefault="000C18DB" w:rsidP="00F113BD">
            <w:pPr>
              <w:spacing w:after="0"/>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10EEB" w14:textId="77777777" w:rsidR="00FE0C5A" w:rsidRDefault="000C18DB" w:rsidP="00F113BD">
            <w:pPr>
              <w:spacing w:after="0"/>
              <w:jc w:val="right"/>
              <w:rPr>
                <w:rFonts w:eastAsia="Times New Roman"/>
              </w:rPr>
            </w:pPr>
            <w:r>
              <w:rPr>
                <w:rFonts w:ascii="Arial" w:eastAsia="Times New Roman" w:hAnsi="Arial" w:cs="Arial"/>
                <w:sz w:val="16"/>
                <w:szCs w:val="16"/>
              </w:rPr>
              <w:t>127.175,04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61C45" w14:textId="77777777" w:rsidR="00FE0C5A" w:rsidRDefault="000C18DB" w:rsidP="00F113BD">
            <w:pPr>
              <w:spacing w:after="0"/>
              <w:jc w:val="right"/>
              <w:rPr>
                <w:rFonts w:eastAsia="Times New Roman"/>
              </w:rPr>
            </w:pPr>
            <w:r>
              <w:rPr>
                <w:rFonts w:ascii="Arial" w:eastAsia="Times New Roman" w:hAnsi="Arial" w:cs="Arial"/>
                <w:sz w:val="16"/>
                <w:szCs w:val="16"/>
              </w:rPr>
              <w:t>250.575,72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7672B" w14:textId="77777777" w:rsidR="00FE0C5A" w:rsidRDefault="000C18DB" w:rsidP="00F113BD">
            <w:pPr>
              <w:spacing w:after="0"/>
              <w:jc w:val="right"/>
              <w:rPr>
                <w:rFonts w:eastAsia="Times New Roman"/>
              </w:rPr>
            </w:pPr>
            <w:r>
              <w:rPr>
                <w:rFonts w:ascii="Arial" w:eastAsia="Times New Roman" w:hAnsi="Arial" w:cs="Arial"/>
                <w:sz w:val="16"/>
                <w:szCs w:val="16"/>
              </w:rPr>
              <w:t>308.248,33</w:t>
            </w:r>
          </w:p>
        </w:tc>
      </w:tr>
      <w:tr w:rsidR="00FE0C5A" w14:paraId="26797A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EA720C" w14:textId="77777777" w:rsidR="00FE0C5A" w:rsidRDefault="000C18DB" w:rsidP="00F113BD">
            <w:pPr>
              <w:spacing w:after="0"/>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63810" w14:textId="77777777" w:rsidR="00FE0C5A" w:rsidRDefault="000C18DB" w:rsidP="00F113BD">
            <w:pPr>
              <w:spacing w:after="0"/>
              <w:jc w:val="right"/>
              <w:rPr>
                <w:rFonts w:eastAsia="Times New Roman"/>
              </w:rPr>
            </w:pPr>
            <w:r>
              <w:rPr>
                <w:rFonts w:ascii="Arial" w:eastAsia="Times New Roman" w:hAnsi="Arial" w:cs="Arial"/>
                <w:sz w:val="16"/>
                <w:szCs w:val="16"/>
              </w:rPr>
              <w:t>8.354.889,19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1817A" w14:textId="77777777" w:rsidR="00FE0C5A" w:rsidRDefault="000C18DB" w:rsidP="00F113BD">
            <w:pPr>
              <w:spacing w:after="0"/>
              <w:jc w:val="right"/>
              <w:rPr>
                <w:rFonts w:eastAsia="Times New Roman"/>
              </w:rPr>
            </w:pPr>
            <w:r>
              <w:rPr>
                <w:rFonts w:ascii="Arial" w:eastAsia="Times New Roman" w:hAnsi="Arial" w:cs="Arial"/>
                <w:sz w:val="16"/>
                <w:szCs w:val="16"/>
              </w:rPr>
              <w:t>16.983.987,27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0D99F" w14:textId="77777777" w:rsidR="00FE0C5A" w:rsidRDefault="000C18DB" w:rsidP="00F113BD">
            <w:pPr>
              <w:spacing w:after="0"/>
              <w:jc w:val="right"/>
              <w:rPr>
                <w:rFonts w:eastAsia="Times New Roman"/>
              </w:rPr>
            </w:pPr>
            <w:r>
              <w:rPr>
                <w:rFonts w:ascii="Arial" w:eastAsia="Times New Roman" w:hAnsi="Arial" w:cs="Arial"/>
                <w:sz w:val="16"/>
                <w:szCs w:val="16"/>
              </w:rPr>
              <w:t>12.676.178,46</w:t>
            </w:r>
          </w:p>
        </w:tc>
      </w:tr>
      <w:tr w:rsidR="00FE0C5A" w14:paraId="709EED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57F94F" w14:textId="77777777" w:rsidR="00FE0C5A" w:rsidRDefault="000C18DB" w:rsidP="00F113BD">
            <w:pPr>
              <w:spacing w:after="0"/>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41607" w14:textId="77777777" w:rsidR="00FE0C5A" w:rsidRDefault="000C18DB" w:rsidP="00F113BD">
            <w:pPr>
              <w:spacing w:after="0"/>
              <w:jc w:val="right"/>
              <w:rPr>
                <w:rFonts w:eastAsia="Times New Roman"/>
              </w:rPr>
            </w:pPr>
            <w:r>
              <w:rPr>
                <w:rFonts w:ascii="Arial" w:eastAsia="Times New Roman" w:hAnsi="Arial" w:cs="Arial"/>
                <w:sz w:val="16"/>
                <w:szCs w:val="16"/>
              </w:rPr>
              <w:t>475.619,09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DEB93" w14:textId="77777777" w:rsidR="00FE0C5A" w:rsidRDefault="000C18DB" w:rsidP="00F113BD">
            <w:pPr>
              <w:spacing w:after="0"/>
              <w:jc w:val="right"/>
              <w:rPr>
                <w:rFonts w:eastAsia="Times New Roman"/>
              </w:rPr>
            </w:pPr>
            <w:r>
              <w:rPr>
                <w:rFonts w:ascii="Arial" w:eastAsia="Times New Roman" w:hAnsi="Arial" w:cs="Arial"/>
                <w:sz w:val="16"/>
                <w:szCs w:val="16"/>
              </w:rPr>
              <w:t>918.443,45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DC" w14:textId="77777777" w:rsidR="00FE0C5A" w:rsidRDefault="000C18DB" w:rsidP="00F113BD">
            <w:pPr>
              <w:spacing w:after="0"/>
              <w:jc w:val="right"/>
              <w:rPr>
                <w:rFonts w:eastAsia="Times New Roman"/>
              </w:rPr>
            </w:pPr>
            <w:r>
              <w:rPr>
                <w:rFonts w:ascii="Arial" w:eastAsia="Times New Roman" w:hAnsi="Arial" w:cs="Arial"/>
                <w:sz w:val="16"/>
                <w:szCs w:val="16"/>
              </w:rPr>
              <w:t>818.531,80</w:t>
            </w:r>
          </w:p>
        </w:tc>
      </w:tr>
      <w:tr w:rsidR="00FE0C5A" w14:paraId="332F00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0354FB" w14:textId="77777777" w:rsidR="00FE0C5A" w:rsidRDefault="000C18DB" w:rsidP="00F113BD">
            <w:pPr>
              <w:spacing w:after="0"/>
              <w:rPr>
                <w:rFonts w:eastAsia="Times New Roman"/>
              </w:rPr>
            </w:pPr>
            <w:r>
              <w:rPr>
                <w:rFonts w:ascii="Arial" w:eastAsia="Times New Roman" w:hAnsi="Arial" w:cs="Arial"/>
                <w:sz w:val="16"/>
                <w:szCs w:val="16"/>
              </w:rPr>
              <w:t xml:space="preserve">Rendas de </w:t>
            </w: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FF421" w14:textId="77777777" w:rsidR="00FE0C5A" w:rsidRDefault="000C18DB" w:rsidP="00F113BD">
            <w:pPr>
              <w:spacing w:after="0"/>
              <w:jc w:val="right"/>
              <w:rPr>
                <w:rFonts w:eastAsia="Times New Roman"/>
              </w:rPr>
            </w:pPr>
            <w:r>
              <w:rPr>
                <w:rFonts w:ascii="Arial" w:eastAsia="Times New Roman" w:hAnsi="Arial" w:cs="Arial"/>
                <w:sz w:val="16"/>
                <w:szCs w:val="16"/>
              </w:rPr>
              <w:t>1.157.911,50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572C1" w14:textId="77777777" w:rsidR="00FE0C5A" w:rsidRDefault="000C18DB" w:rsidP="00F113BD">
            <w:pPr>
              <w:spacing w:after="0"/>
              <w:jc w:val="right"/>
              <w:rPr>
                <w:rFonts w:eastAsia="Times New Roman"/>
              </w:rPr>
            </w:pPr>
            <w:r>
              <w:rPr>
                <w:rFonts w:ascii="Arial" w:eastAsia="Times New Roman" w:hAnsi="Arial" w:cs="Arial"/>
                <w:sz w:val="16"/>
                <w:szCs w:val="16"/>
              </w:rPr>
              <w:t>2.245.702,54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004A5" w14:textId="77777777" w:rsidR="00FE0C5A" w:rsidRDefault="000C18DB" w:rsidP="00F113BD">
            <w:pPr>
              <w:spacing w:after="0"/>
              <w:jc w:val="right"/>
              <w:rPr>
                <w:rFonts w:eastAsia="Times New Roman"/>
              </w:rPr>
            </w:pPr>
            <w:r>
              <w:rPr>
                <w:rFonts w:ascii="Arial" w:eastAsia="Times New Roman" w:hAnsi="Arial" w:cs="Arial"/>
                <w:sz w:val="16"/>
                <w:szCs w:val="16"/>
              </w:rPr>
              <w:t>1.721.917,43</w:t>
            </w:r>
          </w:p>
        </w:tc>
      </w:tr>
      <w:tr w:rsidR="00FE0C5A" w14:paraId="3A681D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2242A6" w14:textId="77777777" w:rsidR="00FE0C5A" w:rsidRDefault="000C18DB" w:rsidP="00F113BD">
            <w:pPr>
              <w:spacing w:after="0"/>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3B62B" w14:textId="77777777" w:rsidR="00FE0C5A" w:rsidRDefault="000C18DB" w:rsidP="00F113BD">
            <w:pPr>
              <w:spacing w:after="0"/>
              <w:jc w:val="right"/>
              <w:rPr>
                <w:rFonts w:eastAsia="Times New Roman"/>
              </w:rPr>
            </w:pPr>
            <w:r>
              <w:rPr>
                <w:rFonts w:ascii="Arial" w:eastAsia="Times New Roman" w:hAnsi="Arial" w:cs="Arial"/>
                <w:sz w:val="16"/>
                <w:szCs w:val="16"/>
              </w:rPr>
              <w:t>1.547.184,45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05DA0" w14:textId="77777777" w:rsidR="00FE0C5A" w:rsidRDefault="000C18DB" w:rsidP="00F113BD">
            <w:pPr>
              <w:spacing w:after="0"/>
              <w:jc w:val="right"/>
              <w:rPr>
                <w:rFonts w:eastAsia="Times New Roman"/>
              </w:rPr>
            </w:pPr>
            <w:r>
              <w:rPr>
                <w:rFonts w:ascii="Arial" w:eastAsia="Times New Roman" w:hAnsi="Arial" w:cs="Arial"/>
                <w:sz w:val="16"/>
                <w:szCs w:val="16"/>
              </w:rPr>
              <w:t>2.549.187,78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479F9" w14:textId="77777777" w:rsidR="00FE0C5A" w:rsidRDefault="000C18DB" w:rsidP="00F113BD">
            <w:pPr>
              <w:spacing w:after="0"/>
              <w:jc w:val="right"/>
              <w:rPr>
                <w:rFonts w:eastAsia="Times New Roman"/>
              </w:rPr>
            </w:pPr>
            <w:r>
              <w:rPr>
                <w:rFonts w:ascii="Arial" w:eastAsia="Times New Roman" w:hAnsi="Arial" w:cs="Arial"/>
                <w:sz w:val="16"/>
                <w:szCs w:val="16"/>
              </w:rPr>
              <w:t>2.782.767,93</w:t>
            </w:r>
          </w:p>
        </w:tc>
      </w:tr>
      <w:tr w:rsidR="00FE0C5A" w14:paraId="506784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4BFADE" w14:textId="77777777" w:rsidR="00FE0C5A" w:rsidRDefault="000C18DB" w:rsidP="00F113BD">
            <w:pPr>
              <w:spacing w:after="0"/>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3F5BB" w14:textId="77777777" w:rsidR="00FE0C5A" w:rsidRDefault="000C18DB" w:rsidP="00F113BD">
            <w:pPr>
              <w:spacing w:after="0"/>
              <w:jc w:val="right"/>
              <w:rPr>
                <w:rFonts w:eastAsia="Times New Roman"/>
              </w:rPr>
            </w:pPr>
            <w:r>
              <w:rPr>
                <w:rFonts w:ascii="Arial" w:eastAsia="Times New Roman" w:hAnsi="Arial" w:cs="Arial"/>
                <w:sz w:val="16"/>
                <w:szCs w:val="16"/>
              </w:rPr>
              <w:t>653.510,07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6F407" w14:textId="77777777" w:rsidR="00FE0C5A" w:rsidRDefault="000C18DB" w:rsidP="00F113BD">
            <w:pPr>
              <w:spacing w:after="0"/>
              <w:jc w:val="right"/>
              <w:rPr>
                <w:rFonts w:eastAsia="Times New Roman"/>
              </w:rPr>
            </w:pPr>
            <w:r>
              <w:rPr>
                <w:rFonts w:ascii="Arial" w:eastAsia="Times New Roman" w:hAnsi="Arial" w:cs="Arial"/>
                <w:sz w:val="16"/>
                <w:szCs w:val="16"/>
              </w:rPr>
              <w:t>735.562,18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C9C5D" w14:textId="77777777" w:rsidR="00FE0C5A" w:rsidRDefault="000C18DB" w:rsidP="00F113BD">
            <w:pPr>
              <w:spacing w:after="0"/>
              <w:jc w:val="right"/>
              <w:rPr>
                <w:rFonts w:eastAsia="Times New Roman"/>
              </w:rPr>
            </w:pPr>
            <w:r>
              <w:rPr>
                <w:rFonts w:ascii="Arial" w:eastAsia="Times New Roman" w:hAnsi="Arial" w:cs="Arial"/>
                <w:sz w:val="16"/>
                <w:szCs w:val="16"/>
              </w:rPr>
              <w:t>745.974,40</w:t>
            </w:r>
          </w:p>
        </w:tc>
      </w:tr>
      <w:tr w:rsidR="00FE0C5A" w14:paraId="489093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4BB373" w14:textId="77777777" w:rsidR="00FE0C5A" w:rsidRDefault="000C18DB" w:rsidP="00F113BD">
            <w:pPr>
              <w:spacing w:after="0"/>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01A12" w14:textId="77777777" w:rsidR="00FE0C5A" w:rsidRDefault="000C18DB" w:rsidP="00F113BD">
            <w:pPr>
              <w:spacing w:after="0"/>
              <w:jc w:val="right"/>
              <w:rPr>
                <w:rFonts w:eastAsia="Times New Roman"/>
              </w:rPr>
            </w:pPr>
            <w:r>
              <w:rPr>
                <w:rFonts w:ascii="Arial" w:eastAsia="Times New Roman" w:hAnsi="Arial" w:cs="Arial"/>
                <w:sz w:val="16"/>
                <w:szCs w:val="16"/>
              </w:rPr>
              <w:t>1.769.737,54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4EF78" w14:textId="77777777" w:rsidR="00FE0C5A" w:rsidRDefault="000C18DB" w:rsidP="00F113BD">
            <w:pPr>
              <w:spacing w:after="0"/>
              <w:jc w:val="right"/>
              <w:rPr>
                <w:rFonts w:eastAsia="Times New Roman"/>
              </w:rPr>
            </w:pPr>
            <w:r>
              <w:rPr>
                <w:rFonts w:ascii="Arial" w:eastAsia="Times New Roman" w:hAnsi="Arial" w:cs="Arial"/>
                <w:sz w:val="16"/>
                <w:szCs w:val="16"/>
              </w:rPr>
              <w:t>4.747.617,08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39AA5" w14:textId="77777777" w:rsidR="00FE0C5A" w:rsidRDefault="000C18DB" w:rsidP="00F113BD">
            <w:pPr>
              <w:spacing w:after="0"/>
              <w:jc w:val="right"/>
              <w:rPr>
                <w:rFonts w:eastAsia="Times New Roman"/>
              </w:rPr>
            </w:pPr>
            <w:r>
              <w:rPr>
                <w:rFonts w:ascii="Arial" w:eastAsia="Times New Roman" w:hAnsi="Arial" w:cs="Arial"/>
                <w:sz w:val="16"/>
                <w:szCs w:val="16"/>
              </w:rPr>
              <w:t>1.745.634,08</w:t>
            </w:r>
          </w:p>
        </w:tc>
      </w:tr>
      <w:tr w:rsidR="00FE0C5A" w14:paraId="2FD811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82A34B" w14:textId="77777777" w:rsidR="00FE0C5A" w:rsidRDefault="000C18DB" w:rsidP="00F113BD">
            <w:pPr>
              <w:spacing w:after="0"/>
              <w:rPr>
                <w:rFonts w:eastAsia="Times New Roman"/>
              </w:rPr>
            </w:pPr>
            <w:r>
              <w:rPr>
                <w:rFonts w:ascii="Arial" w:eastAsia="Times New Roman" w:hAnsi="Arial" w:cs="Arial"/>
                <w:sz w:val="16"/>
                <w:szCs w:val="16"/>
              </w:rPr>
              <w:t>Rendas de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F5833" w14:textId="77777777" w:rsidR="00FE0C5A" w:rsidRDefault="000C18DB" w:rsidP="00F113BD">
            <w:pPr>
              <w:spacing w:after="0"/>
              <w:jc w:val="right"/>
              <w:rPr>
                <w:rFonts w:eastAsia="Times New Roman"/>
              </w:rPr>
            </w:pPr>
            <w:r>
              <w:rPr>
                <w:rFonts w:ascii="Arial" w:eastAsia="Times New Roman" w:hAnsi="Arial" w:cs="Arial"/>
                <w:sz w:val="16"/>
                <w:szCs w:val="16"/>
              </w:rPr>
              <w:t>16.808,88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7825C" w14:textId="77777777" w:rsidR="00FE0C5A" w:rsidRDefault="000C18DB" w:rsidP="00F113BD">
            <w:pPr>
              <w:spacing w:after="0"/>
              <w:jc w:val="right"/>
              <w:rPr>
                <w:rFonts w:eastAsia="Times New Roman"/>
              </w:rPr>
            </w:pPr>
            <w:r>
              <w:rPr>
                <w:rFonts w:ascii="Arial" w:eastAsia="Times New Roman" w:hAnsi="Arial" w:cs="Arial"/>
                <w:sz w:val="16"/>
                <w:szCs w:val="16"/>
              </w:rPr>
              <w:t>33.932,16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0B121" w14:textId="77777777" w:rsidR="00FE0C5A" w:rsidRDefault="000C18DB" w:rsidP="00F113BD">
            <w:pPr>
              <w:spacing w:after="0"/>
              <w:jc w:val="right"/>
              <w:rPr>
                <w:rFonts w:eastAsia="Times New Roman"/>
              </w:rPr>
            </w:pPr>
            <w:r>
              <w:rPr>
                <w:rFonts w:ascii="Arial" w:eastAsia="Times New Roman" w:hAnsi="Arial" w:cs="Arial"/>
                <w:sz w:val="16"/>
                <w:szCs w:val="16"/>
              </w:rPr>
              <w:t>33.992,40</w:t>
            </w:r>
          </w:p>
        </w:tc>
      </w:tr>
      <w:tr w:rsidR="00FE0C5A" w14:paraId="35FFF8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181BE2" w14:textId="77777777" w:rsidR="00FE0C5A" w:rsidRDefault="000C18DB" w:rsidP="00F113BD">
            <w:pPr>
              <w:spacing w:after="0"/>
              <w:rPr>
                <w:rFonts w:eastAsia="Times New Roman"/>
              </w:rPr>
            </w:pPr>
            <w:r>
              <w:rPr>
                <w:rFonts w:ascii="Arial" w:eastAsia="Times New Roman" w:hAnsi="Arial" w:cs="Arial"/>
                <w:sz w:val="16"/>
                <w:szCs w:val="16"/>
              </w:rPr>
              <w:t xml:space="preserve">Rendas de Financiamentos Rurais - Recursos de Fontes </w:t>
            </w:r>
            <w:r>
              <w:rPr>
                <w:rFonts w:ascii="Arial" w:eastAsia="Times New Roman" w:hAnsi="Arial" w:cs="Arial"/>
                <w:sz w:val="16"/>
                <w:szCs w:val="16"/>
              </w:rPr>
              <w:t>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25E7B" w14:textId="77777777" w:rsidR="00FE0C5A" w:rsidRDefault="000C18DB" w:rsidP="00F113BD">
            <w:pPr>
              <w:spacing w:after="0"/>
              <w:jc w:val="right"/>
              <w:rPr>
                <w:rFonts w:eastAsia="Times New Roman"/>
              </w:rPr>
            </w:pPr>
            <w:r>
              <w:rPr>
                <w:rFonts w:ascii="Arial" w:eastAsia="Times New Roman" w:hAnsi="Arial" w:cs="Arial"/>
                <w:sz w:val="16"/>
                <w:szCs w:val="16"/>
              </w:rPr>
              <w:t>795.316,42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F630F" w14:textId="77777777" w:rsidR="00FE0C5A" w:rsidRDefault="000C18DB" w:rsidP="00F113BD">
            <w:pPr>
              <w:spacing w:after="0"/>
              <w:jc w:val="right"/>
              <w:rPr>
                <w:rFonts w:eastAsia="Times New Roman"/>
              </w:rPr>
            </w:pPr>
            <w:r>
              <w:rPr>
                <w:rFonts w:ascii="Arial" w:eastAsia="Times New Roman" w:hAnsi="Arial" w:cs="Arial"/>
                <w:sz w:val="16"/>
                <w:szCs w:val="16"/>
              </w:rPr>
              <w:t>1.566.184,89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81023" w14:textId="77777777" w:rsidR="00FE0C5A" w:rsidRDefault="000C18DB" w:rsidP="00F113BD">
            <w:pPr>
              <w:spacing w:after="0"/>
              <w:jc w:val="right"/>
              <w:rPr>
                <w:rFonts w:eastAsia="Times New Roman"/>
              </w:rPr>
            </w:pPr>
            <w:r>
              <w:rPr>
                <w:rFonts w:ascii="Arial" w:eastAsia="Times New Roman" w:hAnsi="Arial" w:cs="Arial"/>
                <w:sz w:val="16"/>
                <w:szCs w:val="16"/>
              </w:rPr>
              <w:t>528.616,25</w:t>
            </w:r>
          </w:p>
        </w:tc>
      </w:tr>
      <w:tr w:rsidR="00FE0C5A" w14:paraId="47441F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F92532" w14:textId="77777777" w:rsidR="00FE0C5A" w:rsidRDefault="000C18DB" w:rsidP="00F113BD">
            <w:pPr>
              <w:spacing w:after="0"/>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4BCA3" w14:textId="77777777" w:rsidR="00FE0C5A" w:rsidRDefault="000C18DB" w:rsidP="00F113BD">
            <w:pPr>
              <w:spacing w:after="0"/>
              <w:jc w:val="right"/>
              <w:rPr>
                <w:rFonts w:eastAsia="Times New Roman"/>
              </w:rPr>
            </w:pPr>
            <w:r>
              <w:rPr>
                <w:rFonts w:ascii="Arial" w:eastAsia="Times New Roman" w:hAnsi="Arial" w:cs="Arial"/>
                <w:sz w:val="16"/>
                <w:szCs w:val="16"/>
              </w:rPr>
              <w:t>212.075,02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5B25F" w14:textId="77777777" w:rsidR="00FE0C5A" w:rsidRDefault="000C18DB" w:rsidP="00F113BD">
            <w:pPr>
              <w:spacing w:after="0"/>
              <w:jc w:val="right"/>
              <w:rPr>
                <w:rFonts w:eastAsia="Times New Roman"/>
              </w:rPr>
            </w:pPr>
            <w:r>
              <w:rPr>
                <w:rFonts w:ascii="Arial" w:eastAsia="Times New Roman" w:hAnsi="Arial" w:cs="Arial"/>
                <w:sz w:val="16"/>
                <w:szCs w:val="16"/>
              </w:rPr>
              <w:t>276.628,84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8DBC6" w14:textId="77777777" w:rsidR="00FE0C5A" w:rsidRDefault="000C18DB" w:rsidP="00F113BD">
            <w:pPr>
              <w:spacing w:after="0"/>
              <w:jc w:val="right"/>
              <w:rPr>
                <w:rFonts w:eastAsia="Times New Roman"/>
              </w:rPr>
            </w:pPr>
            <w:r>
              <w:rPr>
                <w:rFonts w:ascii="Arial" w:eastAsia="Times New Roman" w:hAnsi="Arial" w:cs="Arial"/>
                <w:sz w:val="16"/>
                <w:szCs w:val="16"/>
              </w:rPr>
              <w:t>212.641,61</w:t>
            </w:r>
          </w:p>
        </w:tc>
      </w:tr>
      <w:tr w:rsidR="00FE0C5A" w14:paraId="074AC3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6A4978"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14155" w14:textId="77777777" w:rsidR="00FE0C5A" w:rsidRDefault="000C18DB" w:rsidP="00F113BD">
            <w:pPr>
              <w:spacing w:after="0"/>
              <w:jc w:val="right"/>
              <w:rPr>
                <w:rFonts w:eastAsia="Times New Roman"/>
              </w:rPr>
            </w:pPr>
            <w:r>
              <w:rPr>
                <w:rFonts w:ascii="Arial" w:eastAsia="Times New Roman" w:hAnsi="Arial" w:cs="Arial"/>
                <w:b/>
                <w:bCs/>
                <w:sz w:val="16"/>
                <w:szCs w:val="16"/>
              </w:rPr>
              <w:t>15.110.227,20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43151" w14:textId="77777777" w:rsidR="00FE0C5A" w:rsidRDefault="000C18DB" w:rsidP="00F113BD">
            <w:pPr>
              <w:spacing w:after="0"/>
              <w:jc w:val="right"/>
              <w:rPr>
                <w:rFonts w:eastAsia="Times New Roman"/>
              </w:rPr>
            </w:pPr>
            <w:r>
              <w:rPr>
                <w:rFonts w:ascii="Arial" w:eastAsia="Times New Roman" w:hAnsi="Arial" w:cs="Arial"/>
                <w:b/>
                <w:bCs/>
                <w:sz w:val="16"/>
                <w:szCs w:val="16"/>
              </w:rPr>
              <w:t>30.307.821,91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4EFA8" w14:textId="77777777" w:rsidR="00FE0C5A" w:rsidRDefault="000C18DB" w:rsidP="00F113BD">
            <w:pPr>
              <w:spacing w:after="0"/>
              <w:jc w:val="right"/>
              <w:rPr>
                <w:rFonts w:eastAsia="Times New Roman"/>
              </w:rPr>
            </w:pPr>
            <w:r>
              <w:rPr>
                <w:rFonts w:ascii="Arial" w:eastAsia="Times New Roman" w:hAnsi="Arial" w:cs="Arial"/>
                <w:b/>
                <w:bCs/>
                <w:sz w:val="16"/>
                <w:szCs w:val="16"/>
              </w:rPr>
              <w:t>21.574.502,69</w:t>
            </w:r>
          </w:p>
        </w:tc>
      </w:tr>
    </w:tbl>
    <w:p w14:paraId="728377E3" w14:textId="47CC950F" w:rsidR="00FE0C5A" w:rsidRDefault="000C18DB">
      <w:pPr>
        <w:pStyle w:val="NormalWeb"/>
      </w:pPr>
      <w:r>
        <w:rPr>
          <w:rFonts w:ascii="Arial" w:hAnsi="Arial" w:cs="Arial"/>
          <w:b/>
          <w:bCs/>
          <w:sz w:val="20"/>
          <w:szCs w:val="20"/>
        </w:rPr>
        <w:t>2</w:t>
      </w:r>
      <w:r w:rsidR="00663642">
        <w:rPr>
          <w:rFonts w:ascii="Arial" w:hAnsi="Arial" w:cs="Arial"/>
          <w:b/>
          <w:bCs/>
          <w:sz w:val="20"/>
          <w:szCs w:val="20"/>
        </w:rPr>
        <w:t>2</w:t>
      </w:r>
      <w:r>
        <w:rPr>
          <w:rFonts w:ascii="Arial" w:hAnsi="Arial" w:cs="Arial"/>
          <w:b/>
          <w:bCs/>
          <w:sz w:val="20"/>
          <w:szCs w:val="20"/>
        </w:rPr>
        <w:t>. Dispêndios e Despesas da Intermediação Financeira</w:t>
      </w:r>
    </w:p>
    <w:tbl>
      <w:tblPr>
        <w:tblW w:w="5000" w:type="pct"/>
        <w:tblCellMar>
          <w:left w:w="0" w:type="dxa"/>
          <w:right w:w="0" w:type="dxa"/>
        </w:tblCellMar>
        <w:tblLook w:val="04A0" w:firstRow="1" w:lastRow="0" w:firstColumn="1" w:lastColumn="0" w:noHBand="0" w:noVBand="1"/>
      </w:tblPr>
      <w:tblGrid>
        <w:gridCol w:w="6322"/>
        <w:gridCol w:w="1222"/>
        <w:gridCol w:w="1222"/>
        <w:gridCol w:w="1222"/>
      </w:tblGrid>
      <w:tr w:rsidR="00FE0C5A" w14:paraId="14EEA0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9B39C0"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33F03"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51BC6"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751EC"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7E7ED9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82D4B5" w14:textId="77777777" w:rsidR="00FE0C5A" w:rsidRDefault="000C18DB" w:rsidP="00F113BD">
            <w:pPr>
              <w:spacing w:after="0"/>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6E3BE" w14:textId="77777777" w:rsidR="00FE0C5A" w:rsidRDefault="000C18DB" w:rsidP="00F113BD">
            <w:pPr>
              <w:spacing w:after="0"/>
              <w:jc w:val="right"/>
              <w:rPr>
                <w:rFonts w:eastAsia="Times New Roman"/>
              </w:rPr>
            </w:pPr>
            <w:r>
              <w:rPr>
                <w:rFonts w:ascii="Arial" w:eastAsia="Times New Roman" w:hAnsi="Arial" w:cs="Arial"/>
                <w:sz w:val="16"/>
                <w:szCs w:val="16"/>
              </w:rPr>
              <w:t>(7.881.921,17)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BCE81" w14:textId="77777777" w:rsidR="00FE0C5A" w:rsidRDefault="000C18DB" w:rsidP="00F113BD">
            <w:pPr>
              <w:spacing w:after="0"/>
              <w:jc w:val="right"/>
              <w:rPr>
                <w:rFonts w:eastAsia="Times New Roman"/>
              </w:rPr>
            </w:pPr>
            <w:r>
              <w:rPr>
                <w:rFonts w:ascii="Arial" w:eastAsia="Times New Roman" w:hAnsi="Arial" w:cs="Arial"/>
                <w:sz w:val="16"/>
                <w:szCs w:val="16"/>
              </w:rPr>
              <w:t>(14.965.934,64)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E2CF0" w14:textId="77777777" w:rsidR="00FE0C5A" w:rsidRDefault="000C18DB" w:rsidP="00F113BD">
            <w:pPr>
              <w:spacing w:after="0"/>
              <w:jc w:val="right"/>
              <w:rPr>
                <w:rFonts w:eastAsia="Times New Roman"/>
              </w:rPr>
            </w:pPr>
            <w:r>
              <w:rPr>
                <w:rFonts w:ascii="Arial" w:eastAsia="Times New Roman" w:hAnsi="Arial" w:cs="Arial"/>
                <w:sz w:val="16"/>
                <w:szCs w:val="16"/>
              </w:rPr>
              <w:t>(13.131.754,53)</w:t>
            </w:r>
          </w:p>
        </w:tc>
      </w:tr>
      <w:tr w:rsidR="00FE0C5A" w14:paraId="42C771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6F417C" w14:textId="77777777" w:rsidR="00FE0C5A" w:rsidRDefault="000C18DB" w:rsidP="00F113BD">
            <w:pPr>
              <w:spacing w:after="0"/>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03027" w14:textId="77777777" w:rsidR="00FE0C5A" w:rsidRDefault="000C18DB" w:rsidP="00F113BD">
            <w:pPr>
              <w:spacing w:after="0"/>
              <w:jc w:val="right"/>
              <w:rPr>
                <w:rFonts w:eastAsia="Times New Roman"/>
              </w:rPr>
            </w:pPr>
            <w:r>
              <w:rPr>
                <w:rFonts w:ascii="Arial" w:eastAsia="Times New Roman" w:hAnsi="Arial" w:cs="Arial"/>
                <w:sz w:val="16"/>
                <w:szCs w:val="16"/>
              </w:rPr>
              <w:t>(4.337.550,96)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4168B" w14:textId="77777777" w:rsidR="00FE0C5A" w:rsidRDefault="000C18DB" w:rsidP="00F113BD">
            <w:pPr>
              <w:spacing w:after="0"/>
              <w:jc w:val="right"/>
              <w:rPr>
                <w:rFonts w:eastAsia="Times New Roman"/>
              </w:rPr>
            </w:pPr>
            <w:r>
              <w:rPr>
                <w:rFonts w:ascii="Arial" w:eastAsia="Times New Roman" w:hAnsi="Arial" w:cs="Arial"/>
                <w:sz w:val="16"/>
                <w:szCs w:val="16"/>
              </w:rPr>
              <w:t>(8.436.277,56)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1AC2F" w14:textId="77777777" w:rsidR="00FE0C5A" w:rsidRDefault="000C18DB" w:rsidP="00F113BD">
            <w:pPr>
              <w:spacing w:after="0"/>
              <w:jc w:val="right"/>
              <w:rPr>
                <w:rFonts w:eastAsia="Times New Roman"/>
              </w:rPr>
            </w:pPr>
            <w:r>
              <w:rPr>
                <w:rFonts w:ascii="Arial" w:eastAsia="Times New Roman" w:hAnsi="Arial" w:cs="Arial"/>
                <w:sz w:val="16"/>
                <w:szCs w:val="16"/>
              </w:rPr>
              <w:t>(3.293.482,79)</w:t>
            </w:r>
          </w:p>
        </w:tc>
      </w:tr>
      <w:tr w:rsidR="00FE0C5A" w14:paraId="1F6410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4D869D"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Provisões/Reversões para Perdas Esperadas Associadas ao Risco de Crédito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228E0" w14:textId="77777777" w:rsidR="00FE0C5A" w:rsidRDefault="000C18DB" w:rsidP="00F113BD">
            <w:pPr>
              <w:spacing w:after="0"/>
              <w:jc w:val="right"/>
              <w:rPr>
                <w:rFonts w:eastAsia="Times New Roman"/>
              </w:rPr>
            </w:pPr>
            <w:r>
              <w:rPr>
                <w:rFonts w:ascii="Arial" w:eastAsia="Times New Roman" w:hAnsi="Arial" w:cs="Arial"/>
                <w:b/>
                <w:bCs/>
                <w:sz w:val="16"/>
                <w:szCs w:val="16"/>
              </w:rPr>
              <w:t>(3.102.931,38)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6EC53" w14:textId="77777777" w:rsidR="00FE0C5A" w:rsidRDefault="000C18DB" w:rsidP="00F113BD">
            <w:pPr>
              <w:spacing w:after="0"/>
              <w:jc w:val="right"/>
              <w:rPr>
                <w:rFonts w:eastAsia="Times New Roman"/>
              </w:rPr>
            </w:pPr>
            <w:r>
              <w:rPr>
                <w:rFonts w:ascii="Arial" w:eastAsia="Times New Roman" w:hAnsi="Arial" w:cs="Arial"/>
                <w:b/>
                <w:bCs/>
                <w:sz w:val="16"/>
                <w:szCs w:val="16"/>
              </w:rPr>
              <w:t>(5.456.523,28)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4E28C" w14:textId="77777777" w:rsidR="00FE0C5A" w:rsidRDefault="000C18DB" w:rsidP="00F113BD">
            <w:pPr>
              <w:spacing w:after="0"/>
              <w:jc w:val="right"/>
              <w:rPr>
                <w:rFonts w:eastAsia="Times New Roman"/>
              </w:rPr>
            </w:pPr>
            <w:r>
              <w:rPr>
                <w:rFonts w:ascii="Arial" w:eastAsia="Times New Roman" w:hAnsi="Arial" w:cs="Arial"/>
                <w:b/>
                <w:bCs/>
                <w:sz w:val="16"/>
                <w:szCs w:val="16"/>
              </w:rPr>
              <w:t>(2.691.654,03)</w:t>
            </w:r>
          </w:p>
        </w:tc>
      </w:tr>
      <w:tr w:rsidR="00FE0C5A" w14:paraId="29A1AC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CB2118" w14:textId="77777777" w:rsidR="00FE0C5A" w:rsidRDefault="000C18DB" w:rsidP="00F113BD">
            <w:pPr>
              <w:spacing w:after="0"/>
              <w:rPr>
                <w:rFonts w:eastAsia="Times New Roman"/>
              </w:rPr>
            </w:pPr>
            <w:r>
              <w:rPr>
                <w:rFonts w:ascii="Arial" w:eastAsia="Times New Roman" w:hAnsi="Arial" w:cs="Arial"/>
                <w:sz w:val="16"/>
                <w:szCs w:val="16"/>
              </w:rPr>
              <w:t>    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17985" w14:textId="77777777" w:rsidR="00FE0C5A" w:rsidRDefault="000C18DB" w:rsidP="00F113BD">
            <w:pPr>
              <w:spacing w:after="0"/>
              <w:jc w:val="right"/>
              <w:rPr>
                <w:rFonts w:eastAsia="Times New Roman"/>
              </w:rPr>
            </w:pPr>
            <w:r>
              <w:rPr>
                <w:rFonts w:ascii="Arial" w:eastAsia="Times New Roman" w:hAnsi="Arial" w:cs="Arial"/>
                <w:sz w:val="16"/>
                <w:szCs w:val="16"/>
              </w:rPr>
              <w:t>2.629.999,55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FE16B" w14:textId="77777777" w:rsidR="00FE0C5A" w:rsidRDefault="000C18DB" w:rsidP="00F113BD">
            <w:pPr>
              <w:spacing w:after="0"/>
              <w:jc w:val="right"/>
              <w:rPr>
                <w:rFonts w:eastAsia="Times New Roman"/>
              </w:rPr>
            </w:pPr>
            <w:r>
              <w:rPr>
                <w:rFonts w:ascii="Arial" w:eastAsia="Times New Roman" w:hAnsi="Arial" w:cs="Arial"/>
                <w:sz w:val="16"/>
                <w:szCs w:val="16"/>
              </w:rPr>
              <w:t>4.106.109,76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7BAAE" w14:textId="77777777" w:rsidR="00FE0C5A" w:rsidRDefault="000C18DB" w:rsidP="00F113BD">
            <w:pPr>
              <w:spacing w:after="0"/>
              <w:jc w:val="right"/>
              <w:rPr>
                <w:rFonts w:eastAsia="Times New Roman"/>
              </w:rPr>
            </w:pPr>
            <w:r>
              <w:rPr>
                <w:rFonts w:ascii="Arial" w:eastAsia="Times New Roman" w:hAnsi="Arial" w:cs="Arial"/>
                <w:sz w:val="16"/>
                <w:szCs w:val="16"/>
              </w:rPr>
              <w:t>3.878.319,74</w:t>
            </w:r>
          </w:p>
        </w:tc>
      </w:tr>
      <w:tr w:rsidR="00FE0C5A" w14:paraId="3F2367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593990" w14:textId="77777777" w:rsidR="00FE0C5A" w:rsidRDefault="000C18DB" w:rsidP="00F113BD">
            <w:pPr>
              <w:spacing w:after="0"/>
              <w:rPr>
                <w:rFonts w:eastAsia="Times New Roman"/>
              </w:rPr>
            </w:pPr>
            <w:r>
              <w:rPr>
                <w:rFonts w:ascii="Arial" w:eastAsia="Times New Roman" w:hAnsi="Arial" w:cs="Arial"/>
                <w:sz w:val="16"/>
                <w:szCs w:val="16"/>
              </w:rPr>
              <w:t xml:space="preserve">    Reversões de Provisões para </w:t>
            </w:r>
            <w:r>
              <w:rPr>
                <w:rFonts w:ascii="Arial" w:eastAsia="Times New Roman" w:hAnsi="Arial" w:cs="Arial"/>
                <w:sz w:val="16"/>
                <w:szCs w:val="16"/>
              </w:rPr>
              <w:t>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212E5" w14:textId="77777777" w:rsidR="00FE0C5A" w:rsidRDefault="000C18DB" w:rsidP="00F113BD">
            <w:pPr>
              <w:spacing w:after="0"/>
              <w:jc w:val="right"/>
              <w:rPr>
                <w:rFonts w:eastAsia="Times New Roman"/>
              </w:rPr>
            </w:pPr>
            <w:r>
              <w:rPr>
                <w:rFonts w:ascii="Arial" w:eastAsia="Times New Roman" w:hAnsi="Arial" w:cs="Arial"/>
                <w:sz w:val="16"/>
                <w:szCs w:val="16"/>
              </w:rPr>
              <w:t>94.489,68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B9CE7" w14:textId="77777777" w:rsidR="00FE0C5A" w:rsidRDefault="000C18DB" w:rsidP="00F113BD">
            <w:pPr>
              <w:spacing w:after="0"/>
              <w:jc w:val="right"/>
              <w:rPr>
                <w:rFonts w:eastAsia="Times New Roman"/>
              </w:rPr>
            </w:pPr>
            <w:r>
              <w:rPr>
                <w:rFonts w:ascii="Arial" w:eastAsia="Times New Roman" w:hAnsi="Arial" w:cs="Arial"/>
                <w:sz w:val="16"/>
                <w:szCs w:val="16"/>
              </w:rPr>
              <w:t>123.500,08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F2F38" w14:textId="77777777" w:rsidR="00FE0C5A" w:rsidRDefault="000C18DB" w:rsidP="00F113BD">
            <w:pPr>
              <w:spacing w:after="0"/>
              <w:jc w:val="right"/>
              <w:rPr>
                <w:rFonts w:eastAsia="Times New Roman"/>
              </w:rPr>
            </w:pPr>
            <w:r>
              <w:rPr>
                <w:rFonts w:ascii="Arial" w:eastAsia="Times New Roman" w:hAnsi="Arial" w:cs="Arial"/>
                <w:sz w:val="16"/>
                <w:szCs w:val="16"/>
              </w:rPr>
              <w:t>89.095,24</w:t>
            </w:r>
          </w:p>
        </w:tc>
      </w:tr>
      <w:tr w:rsidR="00FE0C5A" w14:paraId="13DBFD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412377" w14:textId="77777777" w:rsidR="00FE0C5A" w:rsidRDefault="000C18DB" w:rsidP="00F113BD">
            <w:pPr>
              <w:spacing w:after="0"/>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A6D69" w14:textId="77777777" w:rsidR="00FE0C5A" w:rsidRDefault="000C18DB" w:rsidP="00F113BD">
            <w:pPr>
              <w:spacing w:after="0"/>
              <w:jc w:val="right"/>
              <w:rPr>
                <w:rFonts w:eastAsia="Times New Roman"/>
              </w:rPr>
            </w:pPr>
            <w:r>
              <w:rPr>
                <w:rFonts w:ascii="Arial" w:eastAsia="Times New Roman" w:hAnsi="Arial" w:cs="Arial"/>
                <w:sz w:val="16"/>
                <w:szCs w:val="16"/>
              </w:rPr>
              <w:t>(5.411.596,83)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4458A" w14:textId="77777777" w:rsidR="00FE0C5A" w:rsidRDefault="000C18DB" w:rsidP="00F113BD">
            <w:pPr>
              <w:spacing w:after="0"/>
              <w:jc w:val="right"/>
              <w:rPr>
                <w:rFonts w:eastAsia="Times New Roman"/>
              </w:rPr>
            </w:pPr>
            <w:r>
              <w:rPr>
                <w:rFonts w:ascii="Arial" w:eastAsia="Times New Roman" w:hAnsi="Arial" w:cs="Arial"/>
                <w:sz w:val="16"/>
                <w:szCs w:val="16"/>
              </w:rPr>
              <w:t>(8.613.835,27)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C844B" w14:textId="77777777" w:rsidR="00FE0C5A" w:rsidRDefault="000C18DB" w:rsidP="00F113BD">
            <w:pPr>
              <w:spacing w:after="0"/>
              <w:jc w:val="right"/>
              <w:rPr>
                <w:rFonts w:eastAsia="Times New Roman"/>
              </w:rPr>
            </w:pPr>
            <w:r>
              <w:rPr>
                <w:rFonts w:ascii="Arial" w:eastAsia="Times New Roman" w:hAnsi="Arial" w:cs="Arial"/>
                <w:sz w:val="16"/>
                <w:szCs w:val="16"/>
              </w:rPr>
              <w:t>(6.225.640,62)</w:t>
            </w:r>
          </w:p>
        </w:tc>
      </w:tr>
      <w:tr w:rsidR="00FE0C5A" w14:paraId="68761D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A5538D" w14:textId="77777777" w:rsidR="00FE0C5A" w:rsidRDefault="000C18DB" w:rsidP="00F113BD">
            <w:pPr>
              <w:spacing w:after="0"/>
              <w:rPr>
                <w:rFonts w:eastAsia="Times New Roman"/>
              </w:rPr>
            </w:pPr>
            <w:r>
              <w:rPr>
                <w:rFonts w:ascii="Arial" w:eastAsia="Times New Roman" w:hAnsi="Arial" w:cs="Arial"/>
                <w:sz w:val="16"/>
                <w:szCs w:val="16"/>
              </w:rPr>
              <w:t>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34880" w14:textId="77777777" w:rsidR="00FE0C5A" w:rsidRDefault="000C18DB" w:rsidP="00F113BD">
            <w:pPr>
              <w:spacing w:after="0"/>
              <w:jc w:val="right"/>
              <w:rPr>
                <w:rFonts w:eastAsia="Times New Roman"/>
              </w:rPr>
            </w:pPr>
            <w:r>
              <w:rPr>
                <w:rFonts w:ascii="Arial" w:eastAsia="Times New Roman" w:hAnsi="Arial" w:cs="Arial"/>
                <w:sz w:val="16"/>
                <w:szCs w:val="16"/>
              </w:rPr>
              <w:t>(415.823,78)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12F25" w14:textId="77777777" w:rsidR="00FE0C5A" w:rsidRDefault="000C18DB" w:rsidP="00F113BD">
            <w:pPr>
              <w:spacing w:after="0"/>
              <w:jc w:val="right"/>
              <w:rPr>
                <w:rFonts w:eastAsia="Times New Roman"/>
              </w:rPr>
            </w:pPr>
            <w:r>
              <w:rPr>
                <w:rFonts w:ascii="Arial" w:eastAsia="Times New Roman" w:hAnsi="Arial" w:cs="Arial"/>
                <w:sz w:val="16"/>
                <w:szCs w:val="16"/>
              </w:rPr>
              <w:t>(1.072.297,85)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A4D59" w14:textId="77777777" w:rsidR="00FE0C5A" w:rsidRDefault="000C18DB" w:rsidP="00F113BD">
            <w:pPr>
              <w:spacing w:after="0"/>
              <w:jc w:val="right"/>
              <w:rPr>
                <w:rFonts w:eastAsia="Times New Roman"/>
              </w:rPr>
            </w:pPr>
            <w:r>
              <w:rPr>
                <w:rFonts w:ascii="Arial" w:eastAsia="Times New Roman" w:hAnsi="Arial" w:cs="Arial"/>
                <w:sz w:val="16"/>
                <w:szCs w:val="16"/>
              </w:rPr>
              <w:t>(433.428,39)</w:t>
            </w:r>
          </w:p>
        </w:tc>
      </w:tr>
      <w:tr w:rsidR="00FE0C5A" w14:paraId="14F92E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67220F" w14:textId="77777777" w:rsidR="00FE0C5A" w:rsidRDefault="000C18DB" w:rsidP="004565FC">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250D3" w14:textId="77777777" w:rsidR="00FE0C5A" w:rsidRDefault="000C18DB" w:rsidP="00F113BD">
            <w:pPr>
              <w:spacing w:after="0"/>
              <w:jc w:val="right"/>
              <w:rPr>
                <w:rFonts w:eastAsia="Times New Roman"/>
              </w:rPr>
            </w:pPr>
            <w:r>
              <w:rPr>
                <w:rFonts w:ascii="Arial" w:eastAsia="Times New Roman" w:hAnsi="Arial" w:cs="Arial"/>
                <w:b/>
                <w:bCs/>
                <w:sz w:val="16"/>
                <w:szCs w:val="16"/>
              </w:rPr>
              <w:t>(15.322.403,51)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36B0B" w14:textId="77777777" w:rsidR="00FE0C5A" w:rsidRDefault="000C18DB" w:rsidP="00F113BD">
            <w:pPr>
              <w:spacing w:after="0"/>
              <w:jc w:val="right"/>
              <w:rPr>
                <w:rFonts w:eastAsia="Times New Roman"/>
              </w:rPr>
            </w:pPr>
            <w:r>
              <w:rPr>
                <w:rFonts w:ascii="Arial" w:eastAsia="Times New Roman" w:hAnsi="Arial" w:cs="Arial"/>
                <w:b/>
                <w:bCs/>
                <w:sz w:val="16"/>
                <w:szCs w:val="16"/>
              </w:rPr>
              <w:t>(28.858.735,48)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E6E45" w14:textId="77777777" w:rsidR="00FE0C5A" w:rsidRDefault="000C18DB" w:rsidP="00F113BD">
            <w:pPr>
              <w:spacing w:after="0"/>
              <w:jc w:val="right"/>
              <w:rPr>
                <w:rFonts w:eastAsia="Times New Roman"/>
              </w:rPr>
            </w:pPr>
            <w:r>
              <w:rPr>
                <w:rFonts w:ascii="Arial" w:eastAsia="Times New Roman" w:hAnsi="Arial" w:cs="Arial"/>
                <w:b/>
                <w:bCs/>
                <w:sz w:val="16"/>
                <w:szCs w:val="16"/>
              </w:rPr>
              <w:t>(19.116.891,35)</w:t>
            </w:r>
          </w:p>
        </w:tc>
      </w:tr>
    </w:tbl>
    <w:p w14:paraId="0926CF8E" w14:textId="42AC91E4" w:rsidR="00FE0C5A" w:rsidRDefault="004565FC">
      <w:pPr>
        <w:pStyle w:val="NormalWeb"/>
      </w:pPr>
      <w:r>
        <w:rPr>
          <w:rFonts w:ascii="Arial" w:hAnsi="Arial" w:cs="Arial"/>
          <w:b/>
          <w:bCs/>
          <w:sz w:val="20"/>
          <w:szCs w:val="20"/>
        </w:rPr>
        <w:t>2</w:t>
      </w:r>
      <w:r w:rsidR="00663642">
        <w:rPr>
          <w:rFonts w:ascii="Arial" w:hAnsi="Arial" w:cs="Arial"/>
          <w:b/>
          <w:bCs/>
          <w:sz w:val="20"/>
          <w:szCs w:val="20"/>
        </w:rPr>
        <w:t>3</w:t>
      </w:r>
      <w:r>
        <w:rPr>
          <w:rFonts w:ascii="Arial" w:hAnsi="Arial" w:cs="Arial"/>
          <w:b/>
          <w:bCs/>
          <w:sz w:val="20"/>
          <w:szCs w:val="20"/>
        </w:rPr>
        <w:t>. Ingressos e Receitas de Prestação de Serviços</w:t>
      </w:r>
    </w:p>
    <w:tbl>
      <w:tblPr>
        <w:tblW w:w="5000" w:type="pct"/>
        <w:tblCellMar>
          <w:left w:w="0" w:type="dxa"/>
          <w:right w:w="0" w:type="dxa"/>
        </w:tblCellMar>
        <w:tblLook w:val="04A0" w:firstRow="1" w:lastRow="0" w:firstColumn="1" w:lastColumn="0" w:noHBand="0" w:noVBand="1"/>
      </w:tblPr>
      <w:tblGrid>
        <w:gridCol w:w="6478"/>
        <w:gridCol w:w="1170"/>
        <w:gridCol w:w="1170"/>
        <w:gridCol w:w="1170"/>
      </w:tblGrid>
      <w:tr w:rsidR="00FE0C5A" w14:paraId="5ACFE3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F5236C"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CBFD9"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8CAF6"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F251F"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4A3A51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523D1A" w14:textId="77777777" w:rsidR="00FE0C5A" w:rsidRDefault="000C18DB" w:rsidP="00F113BD">
            <w:pPr>
              <w:spacing w:after="0"/>
              <w:rPr>
                <w:rFonts w:eastAsia="Times New Roman"/>
              </w:rPr>
            </w:pPr>
            <w:r>
              <w:rPr>
                <w:rFonts w:ascii="Arial" w:eastAsia="Times New Roman" w:hAnsi="Arial" w:cs="Arial"/>
                <w:sz w:val="16"/>
                <w:szCs w:val="16"/>
              </w:rPr>
              <w:lastRenderedPageBreak/>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EF1E1" w14:textId="77777777" w:rsidR="00FE0C5A" w:rsidRDefault="000C18DB" w:rsidP="00F113BD">
            <w:pPr>
              <w:spacing w:after="0"/>
              <w:jc w:val="right"/>
              <w:rPr>
                <w:rFonts w:eastAsia="Times New Roman"/>
              </w:rPr>
            </w:pPr>
            <w:r>
              <w:rPr>
                <w:rFonts w:ascii="Arial" w:eastAsia="Times New Roman" w:hAnsi="Arial" w:cs="Arial"/>
                <w:sz w:val="16"/>
                <w:szCs w:val="16"/>
              </w:rPr>
              <w:t>321.794,27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1F9B6" w14:textId="77777777" w:rsidR="00FE0C5A" w:rsidRDefault="000C18DB" w:rsidP="00F113BD">
            <w:pPr>
              <w:spacing w:after="0"/>
              <w:jc w:val="right"/>
              <w:rPr>
                <w:rFonts w:eastAsia="Times New Roman"/>
              </w:rPr>
            </w:pPr>
            <w:r>
              <w:rPr>
                <w:rFonts w:ascii="Arial" w:eastAsia="Times New Roman" w:hAnsi="Arial" w:cs="Arial"/>
                <w:sz w:val="16"/>
                <w:szCs w:val="16"/>
              </w:rPr>
              <w:t>625.527,29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5A512" w14:textId="77777777" w:rsidR="00FE0C5A" w:rsidRDefault="000C18DB" w:rsidP="00F113BD">
            <w:pPr>
              <w:spacing w:after="0"/>
              <w:jc w:val="right"/>
              <w:rPr>
                <w:rFonts w:eastAsia="Times New Roman"/>
              </w:rPr>
            </w:pPr>
            <w:r>
              <w:rPr>
                <w:rFonts w:ascii="Arial" w:eastAsia="Times New Roman" w:hAnsi="Arial" w:cs="Arial"/>
                <w:sz w:val="16"/>
                <w:szCs w:val="16"/>
              </w:rPr>
              <w:t>561.513,79</w:t>
            </w:r>
          </w:p>
        </w:tc>
      </w:tr>
      <w:tr w:rsidR="00FE0C5A" w14:paraId="76088B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431079" w14:textId="10523262" w:rsidR="00FE0C5A" w:rsidRDefault="000C18DB" w:rsidP="00F113BD">
            <w:pPr>
              <w:spacing w:after="0"/>
              <w:rPr>
                <w:rFonts w:eastAsia="Times New Roman"/>
              </w:rPr>
            </w:pPr>
            <w:r>
              <w:rPr>
                <w:rFonts w:ascii="Arial" w:eastAsia="Times New Roman" w:hAnsi="Arial" w:cs="Arial"/>
                <w:sz w:val="16"/>
                <w:szCs w:val="16"/>
              </w:rPr>
              <w:t>Rendas por Serviços de Pagamento</w:t>
            </w:r>
            <w:r w:rsidR="004565FC">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BBBC3" w14:textId="77777777" w:rsidR="00FE0C5A" w:rsidRDefault="000C18DB" w:rsidP="00F113BD">
            <w:pPr>
              <w:spacing w:after="0"/>
              <w:jc w:val="right"/>
              <w:rPr>
                <w:rFonts w:eastAsia="Times New Roman"/>
              </w:rPr>
            </w:pPr>
            <w:r>
              <w:rPr>
                <w:rFonts w:ascii="Arial" w:eastAsia="Times New Roman" w:hAnsi="Arial" w:cs="Arial"/>
                <w:sz w:val="16"/>
                <w:szCs w:val="16"/>
              </w:rPr>
              <w:t>1.441.111,99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EFE75" w14:textId="77777777" w:rsidR="00FE0C5A" w:rsidRDefault="000C18DB" w:rsidP="00F113BD">
            <w:pPr>
              <w:spacing w:after="0"/>
              <w:jc w:val="right"/>
              <w:rPr>
                <w:rFonts w:eastAsia="Times New Roman"/>
              </w:rPr>
            </w:pPr>
            <w:r>
              <w:rPr>
                <w:rFonts w:ascii="Arial" w:eastAsia="Times New Roman" w:hAnsi="Arial" w:cs="Arial"/>
                <w:sz w:val="16"/>
                <w:szCs w:val="16"/>
              </w:rPr>
              <w:t>1.948.996,41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4A771"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78CA47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D0BB48" w14:textId="77777777" w:rsidR="00FE0C5A" w:rsidRDefault="000C18DB" w:rsidP="00F113BD">
            <w:pPr>
              <w:spacing w:after="0"/>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D82F6" w14:textId="77777777" w:rsidR="00FE0C5A" w:rsidRDefault="000C18DB" w:rsidP="00F113BD">
            <w:pPr>
              <w:spacing w:after="0"/>
              <w:jc w:val="right"/>
              <w:rPr>
                <w:rFonts w:eastAsia="Times New Roman"/>
              </w:rPr>
            </w:pPr>
            <w:r>
              <w:rPr>
                <w:rFonts w:ascii="Arial" w:eastAsia="Times New Roman" w:hAnsi="Arial" w:cs="Arial"/>
                <w:sz w:val="16"/>
                <w:szCs w:val="16"/>
              </w:rPr>
              <w:t>120.037,67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5EDFB" w14:textId="77777777" w:rsidR="00FE0C5A" w:rsidRDefault="000C18DB" w:rsidP="00F113BD">
            <w:pPr>
              <w:spacing w:after="0"/>
              <w:jc w:val="right"/>
              <w:rPr>
                <w:rFonts w:eastAsia="Times New Roman"/>
              </w:rPr>
            </w:pPr>
            <w:r>
              <w:rPr>
                <w:rFonts w:ascii="Arial" w:eastAsia="Times New Roman" w:hAnsi="Arial" w:cs="Arial"/>
                <w:sz w:val="16"/>
                <w:szCs w:val="16"/>
              </w:rPr>
              <w:t>251.537,33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7B57D" w14:textId="77777777" w:rsidR="00FE0C5A" w:rsidRDefault="000C18DB" w:rsidP="00F113BD">
            <w:pPr>
              <w:spacing w:after="0"/>
              <w:jc w:val="right"/>
              <w:rPr>
                <w:rFonts w:eastAsia="Times New Roman"/>
              </w:rPr>
            </w:pPr>
            <w:r>
              <w:rPr>
                <w:rFonts w:ascii="Arial" w:eastAsia="Times New Roman" w:hAnsi="Arial" w:cs="Arial"/>
                <w:sz w:val="16"/>
                <w:szCs w:val="16"/>
              </w:rPr>
              <w:t>227.748,04</w:t>
            </w:r>
          </w:p>
        </w:tc>
      </w:tr>
      <w:tr w:rsidR="00FE0C5A" w14:paraId="21AB68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1CC0CB" w14:textId="77777777" w:rsidR="00FE0C5A" w:rsidRDefault="000C18DB" w:rsidP="00F113BD">
            <w:pPr>
              <w:spacing w:after="0"/>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CCB25" w14:textId="77777777" w:rsidR="00FE0C5A" w:rsidRDefault="000C18DB" w:rsidP="00F113BD">
            <w:pPr>
              <w:spacing w:after="0"/>
              <w:jc w:val="right"/>
              <w:rPr>
                <w:rFonts w:eastAsia="Times New Roman"/>
              </w:rPr>
            </w:pPr>
            <w:r>
              <w:rPr>
                <w:rFonts w:ascii="Arial" w:eastAsia="Times New Roman" w:hAnsi="Arial" w:cs="Arial"/>
                <w:sz w:val="16"/>
                <w:szCs w:val="16"/>
              </w:rPr>
              <w:t>1.416.555,67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A020A" w14:textId="77777777" w:rsidR="00FE0C5A" w:rsidRDefault="000C18DB" w:rsidP="00F113BD">
            <w:pPr>
              <w:spacing w:after="0"/>
              <w:jc w:val="right"/>
              <w:rPr>
                <w:rFonts w:eastAsia="Times New Roman"/>
              </w:rPr>
            </w:pPr>
            <w:r>
              <w:rPr>
                <w:rFonts w:ascii="Arial" w:eastAsia="Times New Roman" w:hAnsi="Arial" w:cs="Arial"/>
                <w:sz w:val="16"/>
                <w:szCs w:val="16"/>
              </w:rPr>
              <w:t>2.481.837,63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D21ED" w14:textId="77777777" w:rsidR="00FE0C5A" w:rsidRDefault="000C18DB" w:rsidP="00F113BD">
            <w:pPr>
              <w:spacing w:after="0"/>
              <w:jc w:val="right"/>
              <w:rPr>
                <w:rFonts w:eastAsia="Times New Roman"/>
              </w:rPr>
            </w:pPr>
            <w:r>
              <w:rPr>
                <w:rFonts w:ascii="Arial" w:eastAsia="Times New Roman" w:hAnsi="Arial" w:cs="Arial"/>
                <w:sz w:val="16"/>
                <w:szCs w:val="16"/>
              </w:rPr>
              <w:t>2.055.842,89</w:t>
            </w:r>
          </w:p>
        </w:tc>
      </w:tr>
      <w:tr w:rsidR="00FE0C5A" w14:paraId="2D9BA7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C943F8" w14:textId="77777777" w:rsidR="00FE0C5A" w:rsidRDefault="000C18DB" w:rsidP="00F113BD">
            <w:pPr>
              <w:spacing w:after="0"/>
              <w:rPr>
                <w:rFonts w:eastAsia="Times New Roman"/>
              </w:rPr>
            </w:pPr>
            <w:r>
              <w:rPr>
                <w:rFonts w:ascii="Arial" w:eastAsia="Times New Roman"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159F6" w14:textId="77777777" w:rsidR="00FE0C5A" w:rsidRDefault="000C18DB" w:rsidP="00F113BD">
            <w:pPr>
              <w:spacing w:after="0"/>
              <w:jc w:val="right"/>
              <w:rPr>
                <w:rFonts w:eastAsia="Times New Roman"/>
              </w:rPr>
            </w:pPr>
            <w:r>
              <w:rPr>
                <w:rFonts w:ascii="Arial" w:eastAsia="Times New Roman" w:hAnsi="Arial" w:cs="Arial"/>
                <w:sz w:val="16"/>
                <w:szCs w:val="16"/>
              </w:rPr>
              <w:t>2.789,57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4F62D" w14:textId="77777777" w:rsidR="00FE0C5A" w:rsidRDefault="000C18DB" w:rsidP="00F113BD">
            <w:pPr>
              <w:spacing w:after="0"/>
              <w:jc w:val="right"/>
              <w:rPr>
                <w:rFonts w:eastAsia="Times New Roman"/>
              </w:rPr>
            </w:pPr>
            <w:r>
              <w:rPr>
                <w:rFonts w:ascii="Arial" w:eastAsia="Times New Roman" w:hAnsi="Arial" w:cs="Arial"/>
                <w:sz w:val="16"/>
                <w:szCs w:val="16"/>
              </w:rPr>
              <w:t>12.156,36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504F2"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02DEC8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7AC519" w14:textId="600C0A64" w:rsidR="00FE0C5A" w:rsidRDefault="000C18DB" w:rsidP="00F113BD">
            <w:pPr>
              <w:spacing w:after="0"/>
              <w:rPr>
                <w:rFonts w:eastAsia="Times New Roman"/>
              </w:rPr>
            </w:pPr>
            <w:r>
              <w:rPr>
                <w:rFonts w:ascii="Arial" w:eastAsia="Times New Roman" w:hAnsi="Arial" w:cs="Arial"/>
                <w:sz w:val="16"/>
                <w:szCs w:val="16"/>
              </w:rPr>
              <w:t>Rendas de Cartões</w:t>
            </w:r>
            <w:r w:rsidR="004565FC">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8225A" w14:textId="77777777" w:rsidR="00FE0C5A" w:rsidRDefault="000C18DB" w:rsidP="00F113BD">
            <w:pPr>
              <w:spacing w:after="0"/>
              <w:jc w:val="right"/>
              <w:rPr>
                <w:rFonts w:eastAsia="Times New Roman"/>
              </w:rPr>
            </w:pPr>
            <w:r>
              <w:rPr>
                <w:rFonts w:ascii="Arial" w:eastAsia="Times New Roman" w:hAnsi="Arial" w:cs="Arial"/>
                <w:sz w:val="16"/>
                <w:szCs w:val="16"/>
              </w:rPr>
              <w:t>286.585,71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AC178" w14:textId="77777777" w:rsidR="00FE0C5A" w:rsidRDefault="000C18DB" w:rsidP="00F113BD">
            <w:pPr>
              <w:spacing w:after="0"/>
              <w:jc w:val="right"/>
              <w:rPr>
                <w:rFonts w:eastAsia="Times New Roman"/>
              </w:rPr>
            </w:pPr>
            <w:r>
              <w:rPr>
                <w:rFonts w:ascii="Arial" w:eastAsia="Times New Roman" w:hAnsi="Arial" w:cs="Arial"/>
                <w:sz w:val="16"/>
                <w:szCs w:val="16"/>
              </w:rPr>
              <w:t>641.148,94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CEC37" w14:textId="77777777" w:rsidR="00FE0C5A" w:rsidRDefault="000C18DB" w:rsidP="00F113BD">
            <w:pPr>
              <w:spacing w:after="0"/>
              <w:jc w:val="right"/>
              <w:rPr>
                <w:rFonts w:eastAsia="Times New Roman"/>
              </w:rPr>
            </w:pPr>
            <w:r>
              <w:rPr>
                <w:rFonts w:ascii="Arial" w:eastAsia="Times New Roman" w:hAnsi="Arial" w:cs="Arial"/>
                <w:sz w:val="16"/>
                <w:szCs w:val="16"/>
              </w:rPr>
              <w:t>765.658,75</w:t>
            </w:r>
          </w:p>
        </w:tc>
      </w:tr>
      <w:tr w:rsidR="00FE0C5A" w14:paraId="574574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C7841A" w14:textId="77777777" w:rsidR="00FE0C5A" w:rsidRDefault="000C18DB" w:rsidP="00F113BD">
            <w:pPr>
              <w:spacing w:after="0"/>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3AEF0" w14:textId="77777777" w:rsidR="00FE0C5A" w:rsidRDefault="000C18DB" w:rsidP="00F113BD">
            <w:pPr>
              <w:spacing w:after="0"/>
              <w:jc w:val="right"/>
              <w:rPr>
                <w:rFonts w:eastAsia="Times New Roman"/>
              </w:rPr>
            </w:pPr>
            <w:r>
              <w:rPr>
                <w:rFonts w:ascii="Arial" w:eastAsia="Times New Roman" w:hAnsi="Arial" w:cs="Arial"/>
                <w:sz w:val="16"/>
                <w:szCs w:val="16"/>
              </w:rPr>
              <w:t>161.242,85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B27B1" w14:textId="77777777" w:rsidR="00FE0C5A" w:rsidRDefault="000C18DB" w:rsidP="00F113BD">
            <w:pPr>
              <w:spacing w:after="0"/>
              <w:jc w:val="right"/>
              <w:rPr>
                <w:rFonts w:eastAsia="Times New Roman"/>
              </w:rPr>
            </w:pPr>
            <w:r>
              <w:rPr>
                <w:rFonts w:ascii="Arial" w:eastAsia="Times New Roman" w:hAnsi="Arial" w:cs="Arial"/>
                <w:sz w:val="16"/>
                <w:szCs w:val="16"/>
              </w:rPr>
              <w:t>296.709,90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EB0E7" w14:textId="77777777" w:rsidR="00FE0C5A" w:rsidRDefault="000C18DB" w:rsidP="00F113BD">
            <w:pPr>
              <w:spacing w:after="0"/>
              <w:jc w:val="right"/>
              <w:rPr>
                <w:rFonts w:eastAsia="Times New Roman"/>
              </w:rPr>
            </w:pPr>
            <w:r>
              <w:rPr>
                <w:rFonts w:ascii="Arial" w:eastAsia="Times New Roman" w:hAnsi="Arial" w:cs="Arial"/>
                <w:sz w:val="16"/>
                <w:szCs w:val="16"/>
              </w:rPr>
              <w:t>308.018,60</w:t>
            </w:r>
          </w:p>
        </w:tc>
      </w:tr>
      <w:tr w:rsidR="00FE0C5A" w14:paraId="0D606F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98B8E8" w14:textId="4884DDE5" w:rsidR="00FE0C5A" w:rsidRDefault="000C18DB" w:rsidP="00F113BD">
            <w:pPr>
              <w:spacing w:after="0"/>
              <w:rPr>
                <w:rFonts w:eastAsia="Times New Roman"/>
              </w:rPr>
            </w:pPr>
            <w:r>
              <w:rPr>
                <w:rFonts w:ascii="Arial" w:eastAsia="Times New Roman" w:hAnsi="Arial" w:cs="Arial"/>
                <w:sz w:val="16"/>
                <w:szCs w:val="16"/>
              </w:rPr>
              <w:t>Rendas por Antecipação de Obrigações de Transações de Pagamento</w:t>
            </w:r>
            <w:r w:rsidR="004565FC">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A6363" w14:textId="77777777" w:rsidR="00FE0C5A" w:rsidRDefault="000C18DB" w:rsidP="00F113BD">
            <w:pPr>
              <w:spacing w:after="0"/>
              <w:jc w:val="right"/>
              <w:rPr>
                <w:rFonts w:eastAsia="Times New Roman"/>
              </w:rPr>
            </w:pPr>
            <w:r>
              <w:rPr>
                <w:rFonts w:ascii="Arial" w:eastAsia="Times New Roman" w:hAnsi="Arial" w:cs="Arial"/>
                <w:sz w:val="16"/>
                <w:szCs w:val="16"/>
              </w:rPr>
              <w:t>158.185,73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3B545" w14:textId="77777777" w:rsidR="00FE0C5A" w:rsidRDefault="000C18DB" w:rsidP="00F113BD">
            <w:pPr>
              <w:spacing w:after="0"/>
              <w:jc w:val="right"/>
              <w:rPr>
                <w:rFonts w:eastAsia="Times New Roman"/>
              </w:rPr>
            </w:pPr>
            <w:r>
              <w:rPr>
                <w:rFonts w:ascii="Arial" w:eastAsia="Times New Roman" w:hAnsi="Arial" w:cs="Arial"/>
                <w:sz w:val="16"/>
                <w:szCs w:val="16"/>
              </w:rPr>
              <w:t>198.041,82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DC58C"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2947CC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A2E4C2" w14:textId="4A452277" w:rsidR="00FE0C5A" w:rsidRDefault="000C18DB" w:rsidP="004565FC">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EBD18" w14:textId="77777777" w:rsidR="00FE0C5A" w:rsidRDefault="000C18DB" w:rsidP="00F113BD">
            <w:pPr>
              <w:spacing w:after="0"/>
              <w:jc w:val="right"/>
              <w:rPr>
                <w:rFonts w:eastAsia="Times New Roman"/>
              </w:rPr>
            </w:pPr>
            <w:r>
              <w:rPr>
                <w:rFonts w:ascii="Arial" w:eastAsia="Times New Roman" w:hAnsi="Arial" w:cs="Arial"/>
                <w:b/>
                <w:bCs/>
                <w:sz w:val="16"/>
                <w:szCs w:val="16"/>
              </w:rPr>
              <w:t>3.908.303,46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91AA8" w14:textId="77777777" w:rsidR="00FE0C5A" w:rsidRDefault="000C18DB" w:rsidP="00F113BD">
            <w:pPr>
              <w:spacing w:after="0"/>
              <w:jc w:val="right"/>
              <w:rPr>
                <w:rFonts w:eastAsia="Times New Roman"/>
              </w:rPr>
            </w:pPr>
            <w:r>
              <w:rPr>
                <w:rFonts w:ascii="Arial" w:eastAsia="Times New Roman" w:hAnsi="Arial" w:cs="Arial"/>
                <w:b/>
                <w:bCs/>
                <w:sz w:val="16"/>
                <w:szCs w:val="16"/>
              </w:rPr>
              <w:t>6.455.955,68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0902D" w14:textId="77777777" w:rsidR="00FE0C5A" w:rsidRDefault="000C18DB" w:rsidP="00F113BD">
            <w:pPr>
              <w:spacing w:after="0"/>
              <w:jc w:val="right"/>
              <w:rPr>
                <w:rFonts w:eastAsia="Times New Roman"/>
              </w:rPr>
            </w:pPr>
            <w:r>
              <w:rPr>
                <w:rFonts w:ascii="Arial" w:eastAsia="Times New Roman" w:hAnsi="Arial" w:cs="Arial"/>
                <w:b/>
                <w:bCs/>
                <w:sz w:val="16"/>
                <w:szCs w:val="16"/>
              </w:rPr>
              <w:t>3.918.782,07</w:t>
            </w:r>
          </w:p>
        </w:tc>
      </w:tr>
    </w:tbl>
    <w:p w14:paraId="1FC03F05" w14:textId="77777777" w:rsidR="00FE0C5A" w:rsidRDefault="000C18DB">
      <w:pPr>
        <w:pStyle w:val="NormalWeb"/>
        <w:jc w:val="both"/>
      </w:pPr>
      <w:r>
        <w:rPr>
          <w:rFonts w:ascii="Arial" w:hAnsi="Arial" w:cs="Arial"/>
          <w:sz w:val="20"/>
          <w:szCs w:val="20"/>
        </w:rPr>
        <w:t xml:space="preserve">a) No exercício de 2023, embasadas pela Resolução CGOA nº 4/2022 e pela </w:t>
      </w:r>
      <w:r>
        <w:rPr>
          <w:rFonts w:ascii="Arial" w:hAnsi="Arial" w:cs="Arial"/>
          <w:sz w:val="20"/>
          <w:szCs w:val="20"/>
        </w:rPr>
        <w:t>Resolução CMN nº 5.051/2022, as cooperativas do Sicoob passaram a ser coparticipantes do modelo de negócio de emissão de cartões junto com o Banco Sicoob. Dessa forma, o Banco Sicoob e as cooperativas passaram a compartilham as receitas, os custos e as despesas da operação de emissão. Essa alteração no modelo de negócios, resultou em variações nas receitas e despesas da Cooperativa, em comparação ao ano anterior.</w:t>
      </w:r>
    </w:p>
    <w:p w14:paraId="2D3E5984" w14:textId="642A2CA1" w:rsidR="00FE0C5A" w:rsidRDefault="004565FC">
      <w:pPr>
        <w:pStyle w:val="NormalWeb"/>
      </w:pPr>
      <w:r>
        <w:rPr>
          <w:rFonts w:ascii="Arial" w:hAnsi="Arial" w:cs="Arial"/>
          <w:b/>
          <w:bCs/>
          <w:sz w:val="20"/>
          <w:szCs w:val="20"/>
        </w:rPr>
        <w:t>2</w:t>
      </w:r>
      <w:r w:rsidR="00663642">
        <w:rPr>
          <w:rFonts w:ascii="Arial" w:hAnsi="Arial" w:cs="Arial"/>
          <w:b/>
          <w:bCs/>
          <w:sz w:val="20"/>
          <w:szCs w:val="20"/>
        </w:rPr>
        <w:t>4</w:t>
      </w:r>
      <w:r>
        <w:rPr>
          <w:rFonts w:ascii="Arial" w:hAnsi="Arial" w:cs="Arial"/>
          <w:b/>
          <w:bCs/>
          <w:sz w:val="20"/>
          <w:szCs w:val="20"/>
        </w:rPr>
        <w:t>. Rendas de Tarifas</w:t>
      </w:r>
    </w:p>
    <w:tbl>
      <w:tblPr>
        <w:tblW w:w="5000" w:type="pct"/>
        <w:tblCellMar>
          <w:left w:w="0" w:type="dxa"/>
          <w:right w:w="0" w:type="dxa"/>
        </w:tblCellMar>
        <w:tblLook w:val="04A0" w:firstRow="1" w:lastRow="0" w:firstColumn="1" w:lastColumn="0" w:noHBand="0" w:noVBand="1"/>
      </w:tblPr>
      <w:tblGrid>
        <w:gridCol w:w="4966"/>
        <w:gridCol w:w="1674"/>
        <w:gridCol w:w="1674"/>
        <w:gridCol w:w="1674"/>
      </w:tblGrid>
      <w:tr w:rsidR="00FE0C5A" w14:paraId="629829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FCE75B"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4760F"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1FBC9"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51BCC"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09B84C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79AC37" w14:textId="77777777" w:rsidR="00FE0C5A" w:rsidRDefault="000C18DB" w:rsidP="00F113BD">
            <w:pPr>
              <w:spacing w:after="0"/>
              <w:rPr>
                <w:rFonts w:eastAsia="Times New Roman"/>
              </w:rPr>
            </w:pPr>
            <w:r>
              <w:rPr>
                <w:rFonts w:ascii="Arial" w:eastAsia="Times New Roman" w:hAnsi="Arial" w:cs="Arial"/>
                <w:sz w:val="16"/>
                <w:szCs w:val="16"/>
              </w:rPr>
              <w:t xml:space="preserve">Rendas de Pacotes de </w:t>
            </w:r>
            <w:r>
              <w:rPr>
                <w:rFonts w:ascii="Arial" w:eastAsia="Times New Roman" w:hAnsi="Arial" w:cs="Arial"/>
                <w:sz w:val="16"/>
                <w:szCs w:val="16"/>
              </w:rPr>
              <w:t>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7241" w14:textId="77777777" w:rsidR="00FE0C5A" w:rsidRDefault="000C18DB" w:rsidP="00F113BD">
            <w:pPr>
              <w:spacing w:after="0"/>
              <w:jc w:val="right"/>
              <w:rPr>
                <w:rFonts w:eastAsia="Times New Roman"/>
              </w:rPr>
            </w:pPr>
            <w:r>
              <w:rPr>
                <w:rFonts w:ascii="Arial" w:eastAsia="Times New Roman" w:hAnsi="Arial" w:cs="Arial"/>
                <w:sz w:val="16"/>
                <w:szCs w:val="16"/>
              </w:rPr>
              <w:t>448.758,10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BEAE7" w14:textId="77777777" w:rsidR="00FE0C5A" w:rsidRDefault="000C18DB" w:rsidP="00F113BD">
            <w:pPr>
              <w:spacing w:after="0"/>
              <w:jc w:val="right"/>
              <w:rPr>
                <w:rFonts w:eastAsia="Times New Roman"/>
              </w:rPr>
            </w:pPr>
            <w:r>
              <w:rPr>
                <w:rFonts w:ascii="Arial" w:eastAsia="Times New Roman" w:hAnsi="Arial" w:cs="Arial"/>
                <w:sz w:val="16"/>
                <w:szCs w:val="16"/>
              </w:rPr>
              <w:t>885.342,00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F6EBD" w14:textId="77777777" w:rsidR="00FE0C5A" w:rsidRDefault="000C18DB" w:rsidP="00F113BD">
            <w:pPr>
              <w:spacing w:after="0"/>
              <w:jc w:val="right"/>
              <w:rPr>
                <w:rFonts w:eastAsia="Times New Roman"/>
              </w:rPr>
            </w:pPr>
            <w:r>
              <w:rPr>
                <w:rFonts w:ascii="Arial" w:eastAsia="Times New Roman" w:hAnsi="Arial" w:cs="Arial"/>
                <w:sz w:val="16"/>
                <w:szCs w:val="16"/>
              </w:rPr>
              <w:t>731.588,00</w:t>
            </w:r>
          </w:p>
        </w:tc>
      </w:tr>
      <w:tr w:rsidR="00FE0C5A" w14:paraId="2A70E0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4E9257" w14:textId="77777777" w:rsidR="00FE0C5A" w:rsidRDefault="000C18DB" w:rsidP="00F113BD">
            <w:pPr>
              <w:spacing w:after="0"/>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0FE74" w14:textId="77777777" w:rsidR="00FE0C5A" w:rsidRDefault="000C18DB" w:rsidP="00F113BD">
            <w:pPr>
              <w:spacing w:after="0"/>
              <w:jc w:val="right"/>
              <w:rPr>
                <w:rFonts w:eastAsia="Times New Roman"/>
              </w:rPr>
            </w:pPr>
            <w:r>
              <w:rPr>
                <w:rFonts w:ascii="Arial" w:eastAsia="Times New Roman" w:hAnsi="Arial" w:cs="Arial"/>
                <w:sz w:val="16"/>
                <w:szCs w:val="16"/>
              </w:rPr>
              <w:t>75.077,40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E82E0" w14:textId="77777777" w:rsidR="00FE0C5A" w:rsidRDefault="000C18DB" w:rsidP="00F113BD">
            <w:pPr>
              <w:spacing w:after="0"/>
              <w:jc w:val="right"/>
              <w:rPr>
                <w:rFonts w:eastAsia="Times New Roman"/>
              </w:rPr>
            </w:pPr>
            <w:r>
              <w:rPr>
                <w:rFonts w:ascii="Arial" w:eastAsia="Times New Roman" w:hAnsi="Arial" w:cs="Arial"/>
                <w:sz w:val="16"/>
                <w:szCs w:val="16"/>
              </w:rPr>
              <w:t>140.137,60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FCA4E" w14:textId="77777777" w:rsidR="00FE0C5A" w:rsidRDefault="000C18DB" w:rsidP="00F113BD">
            <w:pPr>
              <w:spacing w:after="0"/>
              <w:jc w:val="right"/>
              <w:rPr>
                <w:rFonts w:eastAsia="Times New Roman"/>
              </w:rPr>
            </w:pPr>
            <w:r>
              <w:rPr>
                <w:rFonts w:ascii="Arial" w:eastAsia="Times New Roman" w:hAnsi="Arial" w:cs="Arial"/>
                <w:sz w:val="16"/>
                <w:szCs w:val="16"/>
              </w:rPr>
              <w:t>144.991,40</w:t>
            </w:r>
          </w:p>
        </w:tc>
      </w:tr>
      <w:tr w:rsidR="00FE0C5A" w14:paraId="7B6967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669FF0" w14:textId="77777777" w:rsidR="00FE0C5A" w:rsidRDefault="000C18DB" w:rsidP="00F113BD">
            <w:pPr>
              <w:spacing w:after="0"/>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2820B" w14:textId="77777777" w:rsidR="00FE0C5A" w:rsidRDefault="000C18DB" w:rsidP="00F113BD">
            <w:pPr>
              <w:spacing w:after="0"/>
              <w:jc w:val="right"/>
              <w:rPr>
                <w:rFonts w:eastAsia="Times New Roman"/>
              </w:rPr>
            </w:pPr>
            <w:r>
              <w:rPr>
                <w:rFonts w:ascii="Arial" w:eastAsia="Times New Roman" w:hAnsi="Arial" w:cs="Arial"/>
                <w:sz w:val="16"/>
                <w:szCs w:val="16"/>
              </w:rPr>
              <w:t>2.164,30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3C141" w14:textId="77777777" w:rsidR="00FE0C5A" w:rsidRDefault="000C18DB" w:rsidP="00F113BD">
            <w:pPr>
              <w:spacing w:after="0"/>
              <w:jc w:val="right"/>
              <w:rPr>
                <w:rFonts w:eastAsia="Times New Roman"/>
              </w:rPr>
            </w:pPr>
            <w:r>
              <w:rPr>
                <w:rFonts w:ascii="Arial" w:eastAsia="Times New Roman" w:hAnsi="Arial" w:cs="Arial"/>
                <w:sz w:val="16"/>
                <w:szCs w:val="16"/>
              </w:rPr>
              <w:t>3.578,80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9AB9D" w14:textId="77777777" w:rsidR="00FE0C5A" w:rsidRDefault="000C18DB" w:rsidP="00F113BD">
            <w:pPr>
              <w:spacing w:after="0"/>
              <w:jc w:val="right"/>
              <w:rPr>
                <w:rFonts w:eastAsia="Times New Roman"/>
              </w:rPr>
            </w:pPr>
            <w:r>
              <w:rPr>
                <w:rFonts w:ascii="Arial" w:eastAsia="Times New Roman" w:hAnsi="Arial" w:cs="Arial"/>
                <w:sz w:val="16"/>
                <w:szCs w:val="16"/>
              </w:rPr>
              <w:t>5.024,30</w:t>
            </w:r>
          </w:p>
        </w:tc>
      </w:tr>
      <w:tr w:rsidR="00FE0C5A" w14:paraId="4943A5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A410DB" w14:textId="77777777" w:rsidR="00FE0C5A" w:rsidRDefault="000C18DB" w:rsidP="00F113BD">
            <w:pPr>
              <w:spacing w:after="0"/>
              <w:rPr>
                <w:rFonts w:eastAsia="Times New Roman"/>
              </w:rPr>
            </w:pPr>
            <w:r>
              <w:rPr>
                <w:rFonts w:ascii="Arial" w:eastAsia="Times New Roman"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76A03" w14:textId="77777777" w:rsidR="00FE0C5A" w:rsidRDefault="000C18DB" w:rsidP="00F113BD">
            <w:pPr>
              <w:spacing w:after="0"/>
              <w:jc w:val="right"/>
              <w:rPr>
                <w:rFonts w:eastAsia="Times New Roman"/>
              </w:rPr>
            </w:pPr>
            <w:r>
              <w:rPr>
                <w:rFonts w:ascii="Arial" w:eastAsia="Times New Roman" w:hAnsi="Arial" w:cs="Arial"/>
                <w:sz w:val="16"/>
                <w:szCs w:val="16"/>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AE7BB" w14:textId="77777777" w:rsidR="00FE0C5A" w:rsidRDefault="000C18DB" w:rsidP="00F113BD">
            <w:pPr>
              <w:spacing w:after="0"/>
              <w:jc w:val="right"/>
              <w:rPr>
                <w:rFonts w:eastAsia="Times New Roman"/>
              </w:rPr>
            </w:pPr>
            <w:r>
              <w:rPr>
                <w:rFonts w:ascii="Arial" w:eastAsia="Times New Roman" w:hAnsi="Arial" w:cs="Arial"/>
                <w:sz w:val="16"/>
                <w:szCs w:val="16"/>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8C754"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15432E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32E95D" w14:textId="77777777" w:rsidR="00FE0C5A" w:rsidRDefault="000C18DB" w:rsidP="00F113BD">
            <w:pPr>
              <w:spacing w:after="0"/>
              <w:rPr>
                <w:rFonts w:eastAsia="Times New Roman"/>
              </w:rPr>
            </w:pPr>
            <w:r>
              <w:rPr>
                <w:rFonts w:ascii="Arial" w:eastAsia="Times New Roman" w:hAnsi="Arial" w:cs="Arial"/>
                <w:sz w:val="16"/>
                <w:szCs w:val="16"/>
              </w:rPr>
              <w:t xml:space="preserve">Rendas de </w:t>
            </w:r>
            <w:r>
              <w:rPr>
                <w:rFonts w:ascii="Arial" w:eastAsia="Times New Roman" w:hAnsi="Arial" w:cs="Arial"/>
                <w:sz w:val="16"/>
                <w:szCs w:val="16"/>
              </w:rPr>
              <w:t>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7825" w14:textId="77777777" w:rsidR="00FE0C5A" w:rsidRDefault="000C18DB" w:rsidP="00F113BD">
            <w:pPr>
              <w:spacing w:after="0"/>
              <w:jc w:val="right"/>
              <w:rPr>
                <w:rFonts w:eastAsia="Times New Roman"/>
              </w:rPr>
            </w:pPr>
            <w:r>
              <w:rPr>
                <w:rFonts w:ascii="Arial" w:eastAsia="Times New Roman" w:hAnsi="Arial" w:cs="Arial"/>
                <w:sz w:val="16"/>
                <w:szCs w:val="16"/>
              </w:rPr>
              <w:t>500.147,57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0D160" w14:textId="77777777" w:rsidR="00FE0C5A" w:rsidRDefault="000C18DB" w:rsidP="00F113BD">
            <w:pPr>
              <w:spacing w:after="0"/>
              <w:jc w:val="right"/>
              <w:rPr>
                <w:rFonts w:eastAsia="Times New Roman"/>
              </w:rPr>
            </w:pPr>
            <w:r>
              <w:rPr>
                <w:rFonts w:ascii="Arial" w:eastAsia="Times New Roman" w:hAnsi="Arial" w:cs="Arial"/>
                <w:sz w:val="16"/>
                <w:szCs w:val="16"/>
              </w:rPr>
              <w:t>984.357,15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D109D" w14:textId="77777777" w:rsidR="00FE0C5A" w:rsidRDefault="000C18DB" w:rsidP="00F113BD">
            <w:pPr>
              <w:spacing w:after="0"/>
              <w:jc w:val="right"/>
              <w:rPr>
                <w:rFonts w:eastAsia="Times New Roman"/>
              </w:rPr>
            </w:pPr>
            <w:r>
              <w:rPr>
                <w:rFonts w:ascii="Arial" w:eastAsia="Times New Roman" w:hAnsi="Arial" w:cs="Arial"/>
                <w:sz w:val="16"/>
                <w:szCs w:val="16"/>
              </w:rPr>
              <w:t>856.737,69</w:t>
            </w:r>
          </w:p>
        </w:tc>
      </w:tr>
      <w:tr w:rsidR="00FE0C5A" w14:paraId="6FEC57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5AD72F"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E1040" w14:textId="77777777" w:rsidR="00FE0C5A" w:rsidRDefault="000C18DB" w:rsidP="00F113BD">
            <w:pPr>
              <w:spacing w:after="0"/>
              <w:jc w:val="right"/>
              <w:rPr>
                <w:rFonts w:eastAsia="Times New Roman"/>
              </w:rPr>
            </w:pPr>
            <w:r>
              <w:rPr>
                <w:rFonts w:ascii="Arial" w:eastAsia="Times New Roman" w:hAnsi="Arial" w:cs="Arial"/>
                <w:b/>
                <w:bCs/>
                <w:sz w:val="16"/>
                <w:szCs w:val="16"/>
              </w:rPr>
              <w:t>1.026.182,37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2297D" w14:textId="77777777" w:rsidR="00FE0C5A" w:rsidRDefault="000C18DB" w:rsidP="00F113BD">
            <w:pPr>
              <w:spacing w:after="0"/>
              <w:jc w:val="right"/>
              <w:rPr>
                <w:rFonts w:eastAsia="Times New Roman"/>
              </w:rPr>
            </w:pPr>
            <w:r>
              <w:rPr>
                <w:rFonts w:ascii="Arial" w:eastAsia="Times New Roman" w:hAnsi="Arial" w:cs="Arial"/>
                <w:b/>
                <w:bCs/>
                <w:sz w:val="16"/>
                <w:szCs w:val="16"/>
              </w:rPr>
              <w:t>2.013.450,55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E69C4" w14:textId="77777777" w:rsidR="00FE0C5A" w:rsidRDefault="000C18DB" w:rsidP="00F113BD">
            <w:pPr>
              <w:spacing w:after="0"/>
              <w:jc w:val="right"/>
              <w:rPr>
                <w:rFonts w:eastAsia="Times New Roman"/>
              </w:rPr>
            </w:pPr>
            <w:r>
              <w:rPr>
                <w:rFonts w:ascii="Arial" w:eastAsia="Times New Roman" w:hAnsi="Arial" w:cs="Arial"/>
                <w:b/>
                <w:bCs/>
                <w:sz w:val="16"/>
                <w:szCs w:val="16"/>
              </w:rPr>
              <w:t>1.738.341,39</w:t>
            </w:r>
          </w:p>
        </w:tc>
      </w:tr>
    </w:tbl>
    <w:p w14:paraId="4292B251" w14:textId="1305A61E" w:rsidR="00FE0C5A" w:rsidRDefault="004565FC">
      <w:pPr>
        <w:pStyle w:val="NormalWeb"/>
      </w:pPr>
      <w:r>
        <w:rPr>
          <w:rFonts w:ascii="Arial" w:hAnsi="Arial" w:cs="Arial"/>
          <w:b/>
          <w:bCs/>
          <w:sz w:val="20"/>
          <w:szCs w:val="20"/>
        </w:rPr>
        <w:t>2</w:t>
      </w:r>
      <w:r w:rsidR="00663642">
        <w:rPr>
          <w:rFonts w:ascii="Arial" w:hAnsi="Arial" w:cs="Arial"/>
          <w:b/>
          <w:bCs/>
          <w:sz w:val="20"/>
          <w:szCs w:val="20"/>
        </w:rPr>
        <w:t>5</w:t>
      </w:r>
      <w:r>
        <w:rPr>
          <w:rFonts w:ascii="Arial" w:hAnsi="Arial" w:cs="Arial"/>
          <w:b/>
          <w:bCs/>
          <w:sz w:val="20"/>
          <w:szCs w:val="20"/>
        </w:rPr>
        <w:t>. Dispêndios e Despesas de Pessoal</w:t>
      </w:r>
    </w:p>
    <w:tbl>
      <w:tblPr>
        <w:tblW w:w="5000" w:type="pct"/>
        <w:tblCellMar>
          <w:left w:w="0" w:type="dxa"/>
          <w:right w:w="0" w:type="dxa"/>
        </w:tblCellMar>
        <w:tblLook w:val="04A0" w:firstRow="1" w:lastRow="0" w:firstColumn="1" w:lastColumn="0" w:noHBand="0" w:noVBand="1"/>
      </w:tblPr>
      <w:tblGrid>
        <w:gridCol w:w="5941"/>
        <w:gridCol w:w="1349"/>
        <w:gridCol w:w="1349"/>
        <w:gridCol w:w="1349"/>
      </w:tblGrid>
      <w:tr w:rsidR="00FE0C5A" w14:paraId="71CC6E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CFA7A5"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F0CBB"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826B8"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230F2"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1D8E8D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A70D7E" w14:textId="77777777" w:rsidR="00FE0C5A" w:rsidRDefault="000C18DB" w:rsidP="00F113BD">
            <w:pPr>
              <w:spacing w:after="0"/>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D75AA" w14:textId="77777777" w:rsidR="00FE0C5A" w:rsidRDefault="000C18DB" w:rsidP="00F113BD">
            <w:pPr>
              <w:spacing w:after="0"/>
              <w:jc w:val="right"/>
              <w:rPr>
                <w:rFonts w:eastAsia="Times New Roman"/>
              </w:rPr>
            </w:pPr>
            <w:r>
              <w:rPr>
                <w:rFonts w:ascii="Arial" w:eastAsia="Times New Roman" w:hAnsi="Arial" w:cs="Arial"/>
                <w:sz w:val="16"/>
                <w:szCs w:val="16"/>
              </w:rPr>
              <w:t>(38.672,88)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7BAE5" w14:textId="77777777" w:rsidR="00FE0C5A" w:rsidRDefault="000C18DB" w:rsidP="00F113BD">
            <w:pPr>
              <w:spacing w:after="0"/>
              <w:jc w:val="right"/>
              <w:rPr>
                <w:rFonts w:eastAsia="Times New Roman"/>
              </w:rPr>
            </w:pPr>
            <w:r>
              <w:rPr>
                <w:rFonts w:ascii="Arial" w:eastAsia="Times New Roman" w:hAnsi="Arial" w:cs="Arial"/>
                <w:sz w:val="16"/>
                <w:szCs w:val="16"/>
              </w:rPr>
              <w:t>(76.756,74)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9CF9D" w14:textId="77777777" w:rsidR="00FE0C5A" w:rsidRDefault="000C18DB" w:rsidP="00F113BD">
            <w:pPr>
              <w:spacing w:after="0"/>
              <w:jc w:val="right"/>
              <w:rPr>
                <w:rFonts w:eastAsia="Times New Roman"/>
              </w:rPr>
            </w:pPr>
            <w:r>
              <w:rPr>
                <w:rFonts w:ascii="Arial" w:eastAsia="Times New Roman" w:hAnsi="Arial" w:cs="Arial"/>
                <w:sz w:val="16"/>
                <w:szCs w:val="16"/>
              </w:rPr>
              <w:t>(72.262,26)</w:t>
            </w:r>
          </w:p>
        </w:tc>
      </w:tr>
      <w:tr w:rsidR="00FE0C5A" w14:paraId="48F6F0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D7750B" w14:textId="77777777" w:rsidR="00FE0C5A" w:rsidRDefault="000C18DB" w:rsidP="00F113BD">
            <w:pPr>
              <w:spacing w:after="0"/>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1DF0A" w14:textId="77777777" w:rsidR="00FE0C5A" w:rsidRDefault="000C18DB" w:rsidP="00F113BD">
            <w:pPr>
              <w:spacing w:after="0"/>
              <w:jc w:val="right"/>
              <w:rPr>
                <w:rFonts w:eastAsia="Times New Roman"/>
              </w:rPr>
            </w:pPr>
            <w:r>
              <w:rPr>
                <w:rFonts w:ascii="Arial" w:eastAsia="Times New Roman" w:hAnsi="Arial" w:cs="Arial"/>
                <w:sz w:val="16"/>
                <w:szCs w:val="16"/>
              </w:rPr>
              <w:t>(641.146,00)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67DBE" w14:textId="77777777" w:rsidR="00FE0C5A" w:rsidRDefault="000C18DB" w:rsidP="00F113BD">
            <w:pPr>
              <w:spacing w:after="0"/>
              <w:jc w:val="right"/>
              <w:rPr>
                <w:rFonts w:eastAsia="Times New Roman"/>
              </w:rPr>
            </w:pPr>
            <w:r>
              <w:rPr>
                <w:rFonts w:ascii="Arial" w:eastAsia="Times New Roman" w:hAnsi="Arial" w:cs="Arial"/>
                <w:sz w:val="16"/>
                <w:szCs w:val="16"/>
              </w:rPr>
              <w:t>(1.272.251,50)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2B1AC" w14:textId="77777777" w:rsidR="00FE0C5A" w:rsidRDefault="000C18DB" w:rsidP="00F113BD">
            <w:pPr>
              <w:spacing w:after="0"/>
              <w:jc w:val="right"/>
              <w:rPr>
                <w:rFonts w:eastAsia="Times New Roman"/>
              </w:rPr>
            </w:pPr>
            <w:r>
              <w:rPr>
                <w:rFonts w:ascii="Arial" w:eastAsia="Times New Roman" w:hAnsi="Arial" w:cs="Arial"/>
                <w:sz w:val="16"/>
                <w:szCs w:val="16"/>
              </w:rPr>
              <w:t>(1.149.868,32)</w:t>
            </w:r>
          </w:p>
        </w:tc>
      </w:tr>
      <w:tr w:rsidR="00FE0C5A" w14:paraId="4AD5DB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76F543" w14:textId="77777777" w:rsidR="00FE0C5A" w:rsidRDefault="000C18DB" w:rsidP="00F113BD">
            <w:pPr>
              <w:spacing w:after="0"/>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BF358" w14:textId="77777777" w:rsidR="00FE0C5A" w:rsidRDefault="000C18DB" w:rsidP="00F113BD">
            <w:pPr>
              <w:spacing w:after="0"/>
              <w:jc w:val="right"/>
              <w:rPr>
                <w:rFonts w:eastAsia="Times New Roman"/>
              </w:rPr>
            </w:pPr>
            <w:r>
              <w:rPr>
                <w:rFonts w:ascii="Arial" w:eastAsia="Times New Roman" w:hAnsi="Arial" w:cs="Arial"/>
                <w:sz w:val="16"/>
                <w:szCs w:val="16"/>
              </w:rPr>
              <w:t>(724.033,45)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32EF1" w14:textId="77777777" w:rsidR="00FE0C5A" w:rsidRDefault="000C18DB" w:rsidP="00F113BD">
            <w:pPr>
              <w:spacing w:after="0"/>
              <w:jc w:val="right"/>
              <w:rPr>
                <w:rFonts w:eastAsia="Times New Roman"/>
              </w:rPr>
            </w:pPr>
            <w:r>
              <w:rPr>
                <w:rFonts w:ascii="Arial" w:eastAsia="Times New Roman" w:hAnsi="Arial" w:cs="Arial"/>
                <w:sz w:val="16"/>
                <w:szCs w:val="16"/>
              </w:rPr>
              <w:t>(1.397.155,62)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CA154" w14:textId="77777777" w:rsidR="00FE0C5A" w:rsidRDefault="000C18DB" w:rsidP="00F113BD">
            <w:pPr>
              <w:spacing w:after="0"/>
              <w:jc w:val="right"/>
              <w:rPr>
                <w:rFonts w:eastAsia="Times New Roman"/>
              </w:rPr>
            </w:pPr>
            <w:r>
              <w:rPr>
                <w:rFonts w:ascii="Arial" w:eastAsia="Times New Roman" w:hAnsi="Arial" w:cs="Arial"/>
                <w:sz w:val="16"/>
                <w:szCs w:val="16"/>
              </w:rPr>
              <w:t>(1.191.474,06)</w:t>
            </w:r>
          </w:p>
        </w:tc>
      </w:tr>
      <w:tr w:rsidR="00FE0C5A" w14:paraId="01185E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5EEBFF" w14:textId="77777777" w:rsidR="00FE0C5A" w:rsidRDefault="000C18DB" w:rsidP="00F113BD">
            <w:pPr>
              <w:spacing w:after="0"/>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04DE9" w14:textId="77777777" w:rsidR="00FE0C5A" w:rsidRDefault="000C18DB" w:rsidP="00F113BD">
            <w:pPr>
              <w:spacing w:after="0"/>
              <w:jc w:val="right"/>
              <w:rPr>
                <w:rFonts w:eastAsia="Times New Roman"/>
              </w:rPr>
            </w:pPr>
            <w:r>
              <w:rPr>
                <w:rFonts w:ascii="Arial" w:eastAsia="Times New Roman" w:hAnsi="Arial" w:cs="Arial"/>
                <w:sz w:val="16"/>
                <w:szCs w:val="16"/>
              </w:rPr>
              <w:t>(947.827,24)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9A6EE" w14:textId="77777777" w:rsidR="00FE0C5A" w:rsidRDefault="000C18DB" w:rsidP="00F113BD">
            <w:pPr>
              <w:spacing w:after="0"/>
              <w:jc w:val="right"/>
              <w:rPr>
                <w:rFonts w:eastAsia="Times New Roman"/>
              </w:rPr>
            </w:pPr>
            <w:r>
              <w:rPr>
                <w:rFonts w:ascii="Arial" w:eastAsia="Times New Roman" w:hAnsi="Arial" w:cs="Arial"/>
                <w:sz w:val="16"/>
                <w:szCs w:val="16"/>
              </w:rPr>
              <w:t>(1.864.726,28)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5D6A6" w14:textId="77777777" w:rsidR="00FE0C5A" w:rsidRDefault="000C18DB" w:rsidP="00F113BD">
            <w:pPr>
              <w:spacing w:after="0"/>
              <w:jc w:val="right"/>
              <w:rPr>
                <w:rFonts w:eastAsia="Times New Roman"/>
              </w:rPr>
            </w:pPr>
            <w:r>
              <w:rPr>
                <w:rFonts w:ascii="Arial" w:eastAsia="Times New Roman" w:hAnsi="Arial" w:cs="Arial"/>
                <w:sz w:val="16"/>
                <w:szCs w:val="16"/>
              </w:rPr>
              <w:t>(1.627.893,62)</w:t>
            </w:r>
          </w:p>
        </w:tc>
      </w:tr>
      <w:tr w:rsidR="00FE0C5A" w14:paraId="640028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E081FE" w14:textId="77777777" w:rsidR="00FE0C5A" w:rsidRDefault="000C18DB" w:rsidP="00F113BD">
            <w:pPr>
              <w:spacing w:after="0"/>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7AADE" w14:textId="77777777" w:rsidR="00FE0C5A" w:rsidRDefault="000C18DB" w:rsidP="00F113BD">
            <w:pPr>
              <w:spacing w:after="0"/>
              <w:jc w:val="right"/>
              <w:rPr>
                <w:rFonts w:eastAsia="Times New Roman"/>
              </w:rPr>
            </w:pPr>
            <w:r>
              <w:rPr>
                <w:rFonts w:ascii="Arial" w:eastAsia="Times New Roman" w:hAnsi="Arial" w:cs="Arial"/>
                <w:sz w:val="16"/>
                <w:szCs w:val="16"/>
              </w:rPr>
              <w:t>(2.657.034,14)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2D177" w14:textId="77777777" w:rsidR="00FE0C5A" w:rsidRDefault="000C18DB" w:rsidP="00F113BD">
            <w:pPr>
              <w:spacing w:after="0"/>
              <w:jc w:val="right"/>
              <w:rPr>
                <w:rFonts w:eastAsia="Times New Roman"/>
              </w:rPr>
            </w:pPr>
            <w:r>
              <w:rPr>
                <w:rFonts w:ascii="Arial" w:eastAsia="Times New Roman" w:hAnsi="Arial" w:cs="Arial"/>
                <w:sz w:val="16"/>
                <w:szCs w:val="16"/>
              </w:rPr>
              <w:t>(4.981.161,98)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A9702" w14:textId="77777777" w:rsidR="00FE0C5A" w:rsidRDefault="000C18DB" w:rsidP="00F113BD">
            <w:pPr>
              <w:spacing w:after="0"/>
              <w:jc w:val="right"/>
              <w:rPr>
                <w:rFonts w:eastAsia="Times New Roman"/>
              </w:rPr>
            </w:pPr>
            <w:r>
              <w:rPr>
                <w:rFonts w:ascii="Arial" w:eastAsia="Times New Roman" w:hAnsi="Arial" w:cs="Arial"/>
                <w:sz w:val="16"/>
                <w:szCs w:val="16"/>
              </w:rPr>
              <w:t>(4.142.745,64)</w:t>
            </w:r>
          </w:p>
        </w:tc>
      </w:tr>
      <w:tr w:rsidR="00FE0C5A" w14:paraId="2A55F9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2E0573" w14:textId="77777777" w:rsidR="00FE0C5A" w:rsidRDefault="000C18DB" w:rsidP="00F113BD">
            <w:pPr>
              <w:spacing w:after="0"/>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3FD53"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A0609" w14:textId="77777777" w:rsidR="00FE0C5A" w:rsidRDefault="000C18DB" w:rsidP="00F113BD">
            <w:pPr>
              <w:spacing w:after="0"/>
              <w:jc w:val="right"/>
              <w:rPr>
                <w:rFonts w:eastAsia="Times New Roman"/>
              </w:rPr>
            </w:pPr>
            <w:r>
              <w:rPr>
                <w:rFonts w:ascii="Arial" w:eastAsia="Times New Roman" w:hAnsi="Arial" w:cs="Arial"/>
                <w:sz w:val="16"/>
                <w:szCs w:val="16"/>
              </w:rPr>
              <w:t>(5.450,00)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6598A" w14:textId="77777777" w:rsidR="00FE0C5A" w:rsidRDefault="000C18DB" w:rsidP="00F113BD">
            <w:pPr>
              <w:spacing w:after="0"/>
              <w:jc w:val="right"/>
              <w:rPr>
                <w:rFonts w:eastAsia="Times New Roman"/>
              </w:rPr>
            </w:pPr>
            <w:r>
              <w:rPr>
                <w:rFonts w:ascii="Arial" w:eastAsia="Times New Roman" w:hAnsi="Arial" w:cs="Arial"/>
                <w:sz w:val="16"/>
                <w:szCs w:val="16"/>
              </w:rPr>
              <w:t>(5.116,94)</w:t>
            </w:r>
          </w:p>
        </w:tc>
      </w:tr>
      <w:tr w:rsidR="00FE0C5A" w14:paraId="64E7D5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4DED2A" w14:textId="77777777" w:rsidR="00FE0C5A" w:rsidRDefault="000C18DB" w:rsidP="00F113BD">
            <w:pPr>
              <w:spacing w:after="0"/>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02AB1" w14:textId="77777777" w:rsidR="00FE0C5A" w:rsidRDefault="000C18DB" w:rsidP="00F113BD">
            <w:pPr>
              <w:spacing w:after="0"/>
              <w:jc w:val="right"/>
              <w:rPr>
                <w:rFonts w:eastAsia="Times New Roman"/>
              </w:rPr>
            </w:pPr>
            <w:r>
              <w:rPr>
                <w:rFonts w:ascii="Arial" w:eastAsia="Times New Roman" w:hAnsi="Arial" w:cs="Arial"/>
                <w:sz w:val="16"/>
                <w:szCs w:val="16"/>
              </w:rPr>
              <w:t>(61.161,20)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29840" w14:textId="77777777" w:rsidR="00FE0C5A" w:rsidRDefault="000C18DB" w:rsidP="00F113BD">
            <w:pPr>
              <w:spacing w:after="0"/>
              <w:jc w:val="right"/>
              <w:rPr>
                <w:rFonts w:eastAsia="Times New Roman"/>
              </w:rPr>
            </w:pPr>
            <w:r>
              <w:rPr>
                <w:rFonts w:ascii="Arial" w:eastAsia="Times New Roman" w:hAnsi="Arial" w:cs="Arial"/>
                <w:sz w:val="16"/>
                <w:szCs w:val="16"/>
              </w:rPr>
              <w:t>(108.185,56)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7A1D2" w14:textId="77777777" w:rsidR="00FE0C5A" w:rsidRDefault="000C18DB" w:rsidP="00F113BD">
            <w:pPr>
              <w:spacing w:after="0"/>
              <w:jc w:val="right"/>
              <w:rPr>
                <w:rFonts w:eastAsia="Times New Roman"/>
              </w:rPr>
            </w:pPr>
            <w:r>
              <w:rPr>
                <w:rFonts w:ascii="Arial" w:eastAsia="Times New Roman" w:hAnsi="Arial" w:cs="Arial"/>
                <w:sz w:val="16"/>
                <w:szCs w:val="16"/>
              </w:rPr>
              <w:t>(44.196,42)</w:t>
            </w:r>
          </w:p>
        </w:tc>
      </w:tr>
      <w:tr w:rsidR="00FE0C5A" w14:paraId="7FE12C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F92B8A"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81D61" w14:textId="77777777" w:rsidR="00FE0C5A" w:rsidRDefault="000C18DB" w:rsidP="00F113BD">
            <w:pPr>
              <w:spacing w:after="0"/>
              <w:jc w:val="right"/>
              <w:rPr>
                <w:rFonts w:eastAsia="Times New Roman"/>
              </w:rPr>
            </w:pPr>
            <w:r>
              <w:rPr>
                <w:rFonts w:ascii="Arial" w:eastAsia="Times New Roman" w:hAnsi="Arial" w:cs="Arial"/>
                <w:b/>
                <w:bCs/>
                <w:sz w:val="16"/>
                <w:szCs w:val="16"/>
              </w:rPr>
              <w:t>(5.069.874,91)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C00AF" w14:textId="77777777" w:rsidR="00FE0C5A" w:rsidRDefault="000C18DB" w:rsidP="00F113BD">
            <w:pPr>
              <w:spacing w:after="0"/>
              <w:jc w:val="right"/>
              <w:rPr>
                <w:rFonts w:eastAsia="Times New Roman"/>
              </w:rPr>
            </w:pPr>
            <w:r>
              <w:rPr>
                <w:rFonts w:ascii="Arial" w:eastAsia="Times New Roman" w:hAnsi="Arial" w:cs="Arial"/>
                <w:b/>
                <w:bCs/>
                <w:sz w:val="16"/>
                <w:szCs w:val="16"/>
              </w:rPr>
              <w:t>(9.705.687,68)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30987" w14:textId="77777777" w:rsidR="00FE0C5A" w:rsidRDefault="000C18DB" w:rsidP="00F113BD">
            <w:pPr>
              <w:spacing w:after="0"/>
              <w:jc w:val="right"/>
              <w:rPr>
                <w:rFonts w:eastAsia="Times New Roman"/>
              </w:rPr>
            </w:pPr>
            <w:r>
              <w:rPr>
                <w:rFonts w:ascii="Arial" w:eastAsia="Times New Roman" w:hAnsi="Arial" w:cs="Arial"/>
                <w:b/>
                <w:bCs/>
                <w:sz w:val="16"/>
                <w:szCs w:val="16"/>
              </w:rPr>
              <w:t>(8.233.557,26)</w:t>
            </w:r>
          </w:p>
        </w:tc>
      </w:tr>
    </w:tbl>
    <w:p w14:paraId="413C11FB" w14:textId="74C35D86" w:rsidR="00FE0C5A" w:rsidRDefault="004565FC">
      <w:pPr>
        <w:pStyle w:val="NormalWeb"/>
      </w:pPr>
      <w:r>
        <w:rPr>
          <w:rFonts w:ascii="Arial" w:hAnsi="Arial" w:cs="Arial"/>
          <w:b/>
          <w:bCs/>
          <w:sz w:val="20"/>
          <w:szCs w:val="20"/>
        </w:rPr>
        <w:t>2</w:t>
      </w:r>
      <w:r w:rsidR="00663642">
        <w:rPr>
          <w:rFonts w:ascii="Arial" w:hAnsi="Arial" w:cs="Arial"/>
          <w:b/>
          <w:bCs/>
          <w:sz w:val="20"/>
          <w:szCs w:val="20"/>
        </w:rPr>
        <w:t>6</w:t>
      </w:r>
      <w:r>
        <w:rPr>
          <w:rFonts w:ascii="Arial" w:hAnsi="Arial" w:cs="Arial"/>
          <w:b/>
          <w:bCs/>
          <w:sz w:val="20"/>
          <w:szCs w:val="20"/>
        </w:rPr>
        <w:t>. Outros Dispêndios e Despesas Administrativas</w:t>
      </w:r>
    </w:p>
    <w:tbl>
      <w:tblPr>
        <w:tblW w:w="5000" w:type="pct"/>
        <w:tblCellMar>
          <w:left w:w="0" w:type="dxa"/>
          <w:right w:w="0" w:type="dxa"/>
        </w:tblCellMar>
        <w:tblLook w:val="04A0" w:firstRow="1" w:lastRow="0" w:firstColumn="1" w:lastColumn="0" w:noHBand="0" w:noVBand="1"/>
      </w:tblPr>
      <w:tblGrid>
        <w:gridCol w:w="5332"/>
        <w:gridCol w:w="1552"/>
        <w:gridCol w:w="1552"/>
        <w:gridCol w:w="1552"/>
      </w:tblGrid>
      <w:tr w:rsidR="00FE0C5A" w14:paraId="43E607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8AA17A"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19040"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7B34D"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678D3"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4F9159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AF137B" w14:textId="77777777" w:rsidR="00FE0C5A" w:rsidRDefault="000C18DB" w:rsidP="00F113BD">
            <w:pPr>
              <w:spacing w:after="0"/>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B3B5C" w14:textId="77777777" w:rsidR="00FE0C5A" w:rsidRDefault="000C18DB" w:rsidP="00F113BD">
            <w:pPr>
              <w:spacing w:after="0"/>
              <w:jc w:val="right"/>
              <w:rPr>
                <w:rFonts w:eastAsia="Times New Roman"/>
              </w:rPr>
            </w:pPr>
            <w:r>
              <w:rPr>
                <w:rFonts w:ascii="Arial" w:eastAsia="Times New Roman" w:hAnsi="Arial" w:cs="Arial"/>
                <w:sz w:val="16"/>
                <w:szCs w:val="16"/>
              </w:rPr>
              <w:t>(45.385,41)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124EB" w14:textId="77777777" w:rsidR="00FE0C5A" w:rsidRDefault="000C18DB" w:rsidP="00F113BD">
            <w:pPr>
              <w:spacing w:after="0"/>
              <w:jc w:val="right"/>
              <w:rPr>
                <w:rFonts w:eastAsia="Times New Roman"/>
              </w:rPr>
            </w:pPr>
            <w:r>
              <w:rPr>
                <w:rFonts w:ascii="Arial" w:eastAsia="Times New Roman" w:hAnsi="Arial" w:cs="Arial"/>
                <w:sz w:val="16"/>
                <w:szCs w:val="16"/>
              </w:rPr>
              <w:t>(79.950,06)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225D0" w14:textId="77777777" w:rsidR="00FE0C5A" w:rsidRDefault="000C18DB" w:rsidP="00F113BD">
            <w:pPr>
              <w:spacing w:after="0"/>
              <w:jc w:val="right"/>
              <w:rPr>
                <w:rFonts w:eastAsia="Times New Roman"/>
              </w:rPr>
            </w:pPr>
            <w:r>
              <w:rPr>
                <w:rFonts w:ascii="Arial" w:eastAsia="Times New Roman" w:hAnsi="Arial" w:cs="Arial"/>
                <w:sz w:val="16"/>
                <w:szCs w:val="16"/>
              </w:rPr>
              <w:t>(89.350,69)</w:t>
            </w:r>
          </w:p>
        </w:tc>
      </w:tr>
      <w:tr w:rsidR="00FE0C5A" w14:paraId="779B6B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19F167" w14:textId="77777777" w:rsidR="00FE0C5A" w:rsidRDefault="000C18DB" w:rsidP="00F113BD">
            <w:pPr>
              <w:spacing w:after="0"/>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EA746" w14:textId="77777777" w:rsidR="00FE0C5A" w:rsidRDefault="000C18DB" w:rsidP="00F113BD">
            <w:pPr>
              <w:spacing w:after="0"/>
              <w:jc w:val="right"/>
              <w:rPr>
                <w:rFonts w:eastAsia="Times New Roman"/>
              </w:rPr>
            </w:pPr>
            <w:r>
              <w:rPr>
                <w:rFonts w:ascii="Arial" w:eastAsia="Times New Roman" w:hAnsi="Arial" w:cs="Arial"/>
                <w:sz w:val="16"/>
                <w:szCs w:val="16"/>
              </w:rPr>
              <w:t>(139.988,91)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424BC" w14:textId="77777777" w:rsidR="00FE0C5A" w:rsidRDefault="000C18DB" w:rsidP="00F113BD">
            <w:pPr>
              <w:spacing w:after="0"/>
              <w:jc w:val="right"/>
              <w:rPr>
                <w:rFonts w:eastAsia="Times New Roman"/>
              </w:rPr>
            </w:pPr>
            <w:r>
              <w:rPr>
                <w:rFonts w:ascii="Arial" w:eastAsia="Times New Roman" w:hAnsi="Arial" w:cs="Arial"/>
                <w:sz w:val="16"/>
                <w:szCs w:val="16"/>
              </w:rPr>
              <w:t>(208.762,74)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22753" w14:textId="77777777" w:rsidR="00FE0C5A" w:rsidRDefault="000C18DB" w:rsidP="00F113BD">
            <w:pPr>
              <w:spacing w:after="0"/>
              <w:jc w:val="right"/>
              <w:rPr>
                <w:rFonts w:eastAsia="Times New Roman"/>
              </w:rPr>
            </w:pPr>
            <w:r>
              <w:rPr>
                <w:rFonts w:ascii="Arial" w:eastAsia="Times New Roman" w:hAnsi="Arial" w:cs="Arial"/>
                <w:sz w:val="16"/>
                <w:szCs w:val="16"/>
              </w:rPr>
              <w:t>(146.747,17)</w:t>
            </w:r>
          </w:p>
        </w:tc>
      </w:tr>
      <w:tr w:rsidR="00FE0C5A" w14:paraId="39E604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7F95FC" w14:textId="77777777" w:rsidR="00FE0C5A" w:rsidRDefault="000C18DB" w:rsidP="00F113BD">
            <w:pPr>
              <w:spacing w:after="0"/>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9A403" w14:textId="77777777" w:rsidR="00FE0C5A" w:rsidRDefault="000C18DB" w:rsidP="00F113BD">
            <w:pPr>
              <w:spacing w:after="0"/>
              <w:jc w:val="right"/>
              <w:rPr>
                <w:rFonts w:eastAsia="Times New Roman"/>
              </w:rPr>
            </w:pPr>
            <w:r>
              <w:rPr>
                <w:rFonts w:ascii="Arial" w:eastAsia="Times New Roman" w:hAnsi="Arial" w:cs="Arial"/>
                <w:sz w:val="16"/>
                <w:szCs w:val="16"/>
              </w:rPr>
              <w:t>(144.064,36)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5DB28" w14:textId="77777777" w:rsidR="00FE0C5A" w:rsidRDefault="000C18DB" w:rsidP="00F113BD">
            <w:pPr>
              <w:spacing w:after="0"/>
              <w:jc w:val="right"/>
              <w:rPr>
                <w:rFonts w:eastAsia="Times New Roman"/>
              </w:rPr>
            </w:pPr>
            <w:r>
              <w:rPr>
                <w:rFonts w:ascii="Arial" w:eastAsia="Times New Roman" w:hAnsi="Arial" w:cs="Arial"/>
                <w:sz w:val="16"/>
                <w:szCs w:val="16"/>
              </w:rPr>
              <w:t>(280.844,29)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58617" w14:textId="77777777" w:rsidR="00FE0C5A" w:rsidRDefault="000C18DB" w:rsidP="00F113BD">
            <w:pPr>
              <w:spacing w:after="0"/>
              <w:jc w:val="right"/>
              <w:rPr>
                <w:rFonts w:eastAsia="Times New Roman"/>
              </w:rPr>
            </w:pPr>
            <w:r>
              <w:rPr>
                <w:rFonts w:ascii="Arial" w:eastAsia="Times New Roman" w:hAnsi="Arial" w:cs="Arial"/>
                <w:sz w:val="16"/>
                <w:szCs w:val="16"/>
              </w:rPr>
              <w:t>(252.682,20)</w:t>
            </w:r>
          </w:p>
        </w:tc>
      </w:tr>
      <w:tr w:rsidR="00FE0C5A" w14:paraId="381E0F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3A70A3" w14:textId="77777777" w:rsidR="00FE0C5A" w:rsidRDefault="000C18DB" w:rsidP="00F113BD">
            <w:pPr>
              <w:spacing w:after="0"/>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FEB98" w14:textId="77777777" w:rsidR="00FE0C5A" w:rsidRDefault="000C18DB" w:rsidP="00F113BD">
            <w:pPr>
              <w:spacing w:after="0"/>
              <w:jc w:val="right"/>
              <w:rPr>
                <w:rFonts w:eastAsia="Times New Roman"/>
              </w:rPr>
            </w:pPr>
            <w:r>
              <w:rPr>
                <w:rFonts w:ascii="Arial" w:eastAsia="Times New Roman" w:hAnsi="Arial" w:cs="Arial"/>
                <w:sz w:val="16"/>
                <w:szCs w:val="16"/>
              </w:rPr>
              <w:t>(136.279,11)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DD98B" w14:textId="77777777" w:rsidR="00FE0C5A" w:rsidRDefault="000C18DB" w:rsidP="00F113BD">
            <w:pPr>
              <w:spacing w:after="0"/>
              <w:jc w:val="right"/>
              <w:rPr>
                <w:rFonts w:eastAsia="Times New Roman"/>
              </w:rPr>
            </w:pPr>
            <w:r>
              <w:rPr>
                <w:rFonts w:ascii="Arial" w:eastAsia="Times New Roman" w:hAnsi="Arial" w:cs="Arial"/>
                <w:sz w:val="16"/>
                <w:szCs w:val="16"/>
              </w:rPr>
              <w:t>(246.531,41)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F9398" w14:textId="77777777" w:rsidR="00FE0C5A" w:rsidRDefault="000C18DB" w:rsidP="00F113BD">
            <w:pPr>
              <w:spacing w:after="0"/>
              <w:jc w:val="right"/>
              <w:rPr>
                <w:rFonts w:eastAsia="Times New Roman"/>
              </w:rPr>
            </w:pPr>
            <w:r>
              <w:rPr>
                <w:rFonts w:ascii="Arial" w:eastAsia="Times New Roman" w:hAnsi="Arial" w:cs="Arial"/>
                <w:sz w:val="16"/>
                <w:szCs w:val="16"/>
              </w:rPr>
              <w:t>(141.034,41)</w:t>
            </w:r>
          </w:p>
        </w:tc>
      </w:tr>
      <w:tr w:rsidR="00FE0C5A" w14:paraId="74FF48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52EBBE" w14:textId="77777777" w:rsidR="00FE0C5A" w:rsidRDefault="000C18DB" w:rsidP="00F113BD">
            <w:pPr>
              <w:spacing w:after="0"/>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AD827" w14:textId="77777777" w:rsidR="00FE0C5A" w:rsidRDefault="000C18DB" w:rsidP="00F113BD">
            <w:pPr>
              <w:spacing w:after="0"/>
              <w:jc w:val="right"/>
              <w:rPr>
                <w:rFonts w:eastAsia="Times New Roman"/>
              </w:rPr>
            </w:pPr>
            <w:r>
              <w:rPr>
                <w:rFonts w:ascii="Arial" w:eastAsia="Times New Roman" w:hAnsi="Arial" w:cs="Arial"/>
                <w:sz w:val="16"/>
                <w:szCs w:val="16"/>
              </w:rPr>
              <w:t>(39.006,69)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31B07" w14:textId="77777777" w:rsidR="00FE0C5A" w:rsidRDefault="000C18DB" w:rsidP="00F113BD">
            <w:pPr>
              <w:spacing w:after="0"/>
              <w:jc w:val="right"/>
              <w:rPr>
                <w:rFonts w:eastAsia="Times New Roman"/>
              </w:rPr>
            </w:pPr>
            <w:r>
              <w:rPr>
                <w:rFonts w:ascii="Arial" w:eastAsia="Times New Roman" w:hAnsi="Arial" w:cs="Arial"/>
                <w:sz w:val="16"/>
                <w:szCs w:val="16"/>
              </w:rPr>
              <w:t>(77.953,87)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07A44" w14:textId="77777777" w:rsidR="00FE0C5A" w:rsidRDefault="000C18DB" w:rsidP="00F113BD">
            <w:pPr>
              <w:spacing w:after="0"/>
              <w:jc w:val="right"/>
              <w:rPr>
                <w:rFonts w:eastAsia="Times New Roman"/>
              </w:rPr>
            </w:pPr>
            <w:r>
              <w:rPr>
                <w:rFonts w:ascii="Arial" w:eastAsia="Times New Roman" w:hAnsi="Arial" w:cs="Arial"/>
                <w:sz w:val="16"/>
                <w:szCs w:val="16"/>
              </w:rPr>
              <w:t>(123.542,13)</w:t>
            </w:r>
          </w:p>
        </w:tc>
      </w:tr>
      <w:tr w:rsidR="00FE0C5A" w14:paraId="0341F7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860C18" w14:textId="77777777" w:rsidR="00FE0C5A" w:rsidRDefault="000C18DB" w:rsidP="00F113BD">
            <w:pPr>
              <w:spacing w:after="0"/>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A9EE8" w14:textId="77777777" w:rsidR="00FE0C5A" w:rsidRDefault="000C18DB" w:rsidP="00F113BD">
            <w:pPr>
              <w:spacing w:after="0"/>
              <w:jc w:val="right"/>
              <w:rPr>
                <w:rFonts w:eastAsia="Times New Roman"/>
              </w:rPr>
            </w:pPr>
            <w:r>
              <w:rPr>
                <w:rFonts w:ascii="Arial" w:eastAsia="Times New Roman" w:hAnsi="Arial" w:cs="Arial"/>
                <w:sz w:val="16"/>
                <w:szCs w:val="16"/>
              </w:rPr>
              <w:t>(432.778,19)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EE7E0" w14:textId="77777777" w:rsidR="00FE0C5A" w:rsidRDefault="000C18DB" w:rsidP="00F113BD">
            <w:pPr>
              <w:spacing w:after="0"/>
              <w:jc w:val="right"/>
              <w:rPr>
                <w:rFonts w:eastAsia="Times New Roman"/>
              </w:rPr>
            </w:pPr>
            <w:r>
              <w:rPr>
                <w:rFonts w:ascii="Arial" w:eastAsia="Times New Roman" w:hAnsi="Arial" w:cs="Arial"/>
                <w:sz w:val="16"/>
                <w:szCs w:val="16"/>
              </w:rPr>
              <w:t>(798.878,85)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24731" w14:textId="77777777" w:rsidR="00FE0C5A" w:rsidRDefault="000C18DB" w:rsidP="00F113BD">
            <w:pPr>
              <w:spacing w:after="0"/>
              <w:jc w:val="right"/>
              <w:rPr>
                <w:rFonts w:eastAsia="Times New Roman"/>
              </w:rPr>
            </w:pPr>
            <w:r>
              <w:rPr>
                <w:rFonts w:ascii="Arial" w:eastAsia="Times New Roman" w:hAnsi="Arial" w:cs="Arial"/>
                <w:sz w:val="16"/>
                <w:szCs w:val="16"/>
              </w:rPr>
              <w:t>(686.793,82)</w:t>
            </w:r>
          </w:p>
        </w:tc>
      </w:tr>
      <w:tr w:rsidR="00FE0C5A" w14:paraId="59EC31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C3E9FC" w14:textId="77777777" w:rsidR="00FE0C5A" w:rsidRDefault="000C18DB" w:rsidP="00F113BD">
            <w:pPr>
              <w:spacing w:after="0"/>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41206" w14:textId="77777777" w:rsidR="00FE0C5A" w:rsidRDefault="000C18DB" w:rsidP="00F113BD">
            <w:pPr>
              <w:spacing w:after="0"/>
              <w:jc w:val="right"/>
              <w:rPr>
                <w:rFonts w:eastAsia="Times New Roman"/>
              </w:rPr>
            </w:pPr>
            <w:r>
              <w:rPr>
                <w:rFonts w:ascii="Arial" w:eastAsia="Times New Roman" w:hAnsi="Arial" w:cs="Arial"/>
                <w:sz w:val="16"/>
                <w:szCs w:val="16"/>
              </w:rPr>
              <w:t>(171.918,18)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43C1F" w14:textId="77777777" w:rsidR="00FE0C5A" w:rsidRDefault="000C18DB" w:rsidP="00F113BD">
            <w:pPr>
              <w:spacing w:after="0"/>
              <w:jc w:val="right"/>
              <w:rPr>
                <w:rFonts w:eastAsia="Times New Roman"/>
              </w:rPr>
            </w:pPr>
            <w:r>
              <w:rPr>
                <w:rFonts w:ascii="Arial" w:eastAsia="Times New Roman" w:hAnsi="Arial" w:cs="Arial"/>
                <w:sz w:val="16"/>
                <w:szCs w:val="16"/>
              </w:rPr>
              <w:t>(309.500,80)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33B70" w14:textId="77777777" w:rsidR="00FE0C5A" w:rsidRDefault="000C18DB" w:rsidP="00F113BD">
            <w:pPr>
              <w:spacing w:after="0"/>
              <w:jc w:val="right"/>
              <w:rPr>
                <w:rFonts w:eastAsia="Times New Roman"/>
              </w:rPr>
            </w:pPr>
            <w:r>
              <w:rPr>
                <w:rFonts w:ascii="Arial" w:eastAsia="Times New Roman" w:hAnsi="Arial" w:cs="Arial"/>
                <w:sz w:val="16"/>
                <w:szCs w:val="16"/>
              </w:rPr>
              <w:t>(160.280,55)</w:t>
            </w:r>
          </w:p>
        </w:tc>
      </w:tr>
      <w:tr w:rsidR="00FE0C5A" w14:paraId="031B9D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264323" w14:textId="77777777" w:rsidR="00FE0C5A" w:rsidRDefault="000C18DB" w:rsidP="00F113BD">
            <w:pPr>
              <w:spacing w:after="0"/>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A88BB" w14:textId="77777777" w:rsidR="00FE0C5A" w:rsidRDefault="000C18DB" w:rsidP="00F113BD">
            <w:pPr>
              <w:spacing w:after="0"/>
              <w:jc w:val="right"/>
              <w:rPr>
                <w:rFonts w:eastAsia="Times New Roman"/>
              </w:rPr>
            </w:pPr>
            <w:r>
              <w:rPr>
                <w:rFonts w:ascii="Arial" w:eastAsia="Times New Roman" w:hAnsi="Arial" w:cs="Arial"/>
                <w:sz w:val="16"/>
                <w:szCs w:val="16"/>
              </w:rPr>
              <w:t>(116.526,32)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C40CE" w14:textId="77777777" w:rsidR="00FE0C5A" w:rsidRDefault="000C18DB" w:rsidP="00F113BD">
            <w:pPr>
              <w:spacing w:after="0"/>
              <w:jc w:val="right"/>
              <w:rPr>
                <w:rFonts w:eastAsia="Times New Roman"/>
              </w:rPr>
            </w:pPr>
            <w:r>
              <w:rPr>
                <w:rFonts w:ascii="Arial" w:eastAsia="Times New Roman" w:hAnsi="Arial" w:cs="Arial"/>
                <w:sz w:val="16"/>
                <w:szCs w:val="16"/>
              </w:rPr>
              <w:t>(265.805,64)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EF4A2" w14:textId="77777777" w:rsidR="00FE0C5A" w:rsidRDefault="000C18DB" w:rsidP="00F113BD">
            <w:pPr>
              <w:spacing w:after="0"/>
              <w:jc w:val="right"/>
              <w:rPr>
                <w:rFonts w:eastAsia="Times New Roman"/>
              </w:rPr>
            </w:pPr>
            <w:r>
              <w:rPr>
                <w:rFonts w:ascii="Arial" w:eastAsia="Times New Roman" w:hAnsi="Arial" w:cs="Arial"/>
                <w:sz w:val="16"/>
                <w:szCs w:val="16"/>
              </w:rPr>
              <w:t>(133.550,98)</w:t>
            </w:r>
          </w:p>
        </w:tc>
      </w:tr>
      <w:tr w:rsidR="00FE0C5A" w14:paraId="195755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762F9C" w14:textId="77777777" w:rsidR="00FE0C5A" w:rsidRDefault="000C18DB" w:rsidP="00F113BD">
            <w:pPr>
              <w:spacing w:after="0"/>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D5408" w14:textId="77777777" w:rsidR="00FE0C5A" w:rsidRDefault="000C18DB" w:rsidP="00F113BD">
            <w:pPr>
              <w:spacing w:after="0"/>
              <w:jc w:val="right"/>
              <w:rPr>
                <w:rFonts w:eastAsia="Times New Roman"/>
              </w:rPr>
            </w:pPr>
            <w:r>
              <w:rPr>
                <w:rFonts w:ascii="Arial" w:eastAsia="Times New Roman" w:hAnsi="Arial" w:cs="Arial"/>
                <w:sz w:val="16"/>
                <w:szCs w:val="16"/>
              </w:rPr>
              <w:t>(56.025,57)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D9803" w14:textId="77777777" w:rsidR="00FE0C5A" w:rsidRDefault="000C18DB" w:rsidP="00F113BD">
            <w:pPr>
              <w:spacing w:after="0"/>
              <w:jc w:val="right"/>
              <w:rPr>
                <w:rFonts w:eastAsia="Times New Roman"/>
              </w:rPr>
            </w:pPr>
            <w:r>
              <w:rPr>
                <w:rFonts w:ascii="Arial" w:eastAsia="Times New Roman" w:hAnsi="Arial" w:cs="Arial"/>
                <w:sz w:val="16"/>
                <w:szCs w:val="16"/>
              </w:rPr>
              <w:t>(162.600,17)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D9483" w14:textId="77777777" w:rsidR="00FE0C5A" w:rsidRDefault="000C18DB" w:rsidP="00F113BD">
            <w:pPr>
              <w:spacing w:after="0"/>
              <w:jc w:val="right"/>
              <w:rPr>
                <w:rFonts w:eastAsia="Times New Roman"/>
              </w:rPr>
            </w:pPr>
            <w:r>
              <w:rPr>
                <w:rFonts w:ascii="Arial" w:eastAsia="Times New Roman" w:hAnsi="Arial" w:cs="Arial"/>
                <w:sz w:val="16"/>
                <w:szCs w:val="16"/>
              </w:rPr>
              <w:t>(84.090,99)</w:t>
            </w:r>
          </w:p>
        </w:tc>
      </w:tr>
      <w:tr w:rsidR="00FE0C5A" w14:paraId="3CBB63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6DAB00" w14:textId="77777777" w:rsidR="00FE0C5A" w:rsidRDefault="000C18DB" w:rsidP="00F113BD">
            <w:pPr>
              <w:spacing w:after="0"/>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5EE6C" w14:textId="77777777" w:rsidR="00FE0C5A" w:rsidRDefault="000C18DB" w:rsidP="00F113BD">
            <w:pPr>
              <w:spacing w:after="0"/>
              <w:jc w:val="right"/>
              <w:rPr>
                <w:rFonts w:eastAsia="Times New Roman"/>
              </w:rPr>
            </w:pPr>
            <w:r>
              <w:rPr>
                <w:rFonts w:ascii="Arial" w:eastAsia="Times New Roman" w:hAnsi="Arial" w:cs="Arial"/>
                <w:sz w:val="16"/>
                <w:szCs w:val="16"/>
              </w:rPr>
              <w:t>(623.895,89)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893C1" w14:textId="77777777" w:rsidR="00FE0C5A" w:rsidRDefault="000C18DB" w:rsidP="00F113BD">
            <w:pPr>
              <w:spacing w:after="0"/>
              <w:jc w:val="right"/>
              <w:rPr>
                <w:rFonts w:eastAsia="Times New Roman"/>
              </w:rPr>
            </w:pPr>
            <w:r>
              <w:rPr>
                <w:rFonts w:ascii="Arial" w:eastAsia="Times New Roman" w:hAnsi="Arial" w:cs="Arial"/>
                <w:sz w:val="16"/>
                <w:szCs w:val="16"/>
              </w:rPr>
              <w:t>(1.243.702,07)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929F4" w14:textId="77777777" w:rsidR="00FE0C5A" w:rsidRDefault="000C18DB" w:rsidP="00F113BD">
            <w:pPr>
              <w:spacing w:after="0"/>
              <w:jc w:val="right"/>
              <w:rPr>
                <w:rFonts w:eastAsia="Times New Roman"/>
              </w:rPr>
            </w:pPr>
            <w:r>
              <w:rPr>
                <w:rFonts w:ascii="Arial" w:eastAsia="Times New Roman" w:hAnsi="Arial" w:cs="Arial"/>
                <w:sz w:val="16"/>
                <w:szCs w:val="16"/>
              </w:rPr>
              <w:t>(1.324.251,51)</w:t>
            </w:r>
          </w:p>
        </w:tc>
      </w:tr>
      <w:tr w:rsidR="00FE0C5A" w14:paraId="6864A5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E470D2" w14:textId="77777777" w:rsidR="00FE0C5A" w:rsidRDefault="000C18DB" w:rsidP="00F113BD">
            <w:pPr>
              <w:spacing w:after="0"/>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93442" w14:textId="77777777" w:rsidR="00FE0C5A" w:rsidRDefault="000C18DB" w:rsidP="00F113BD">
            <w:pPr>
              <w:spacing w:after="0"/>
              <w:jc w:val="right"/>
              <w:rPr>
                <w:rFonts w:eastAsia="Times New Roman"/>
              </w:rPr>
            </w:pPr>
            <w:r>
              <w:rPr>
                <w:rFonts w:ascii="Arial" w:eastAsia="Times New Roman" w:hAnsi="Arial" w:cs="Arial"/>
                <w:sz w:val="16"/>
                <w:szCs w:val="16"/>
              </w:rPr>
              <w:t>(128.618,26)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68725" w14:textId="77777777" w:rsidR="00FE0C5A" w:rsidRDefault="000C18DB" w:rsidP="00F113BD">
            <w:pPr>
              <w:spacing w:after="0"/>
              <w:jc w:val="right"/>
              <w:rPr>
                <w:rFonts w:eastAsia="Times New Roman"/>
              </w:rPr>
            </w:pPr>
            <w:r>
              <w:rPr>
                <w:rFonts w:ascii="Arial" w:eastAsia="Times New Roman" w:hAnsi="Arial" w:cs="Arial"/>
                <w:sz w:val="16"/>
                <w:szCs w:val="16"/>
              </w:rPr>
              <w:t>(240.256,78)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4EA4" w14:textId="77777777" w:rsidR="00FE0C5A" w:rsidRDefault="000C18DB" w:rsidP="00F113BD">
            <w:pPr>
              <w:spacing w:after="0"/>
              <w:jc w:val="right"/>
              <w:rPr>
                <w:rFonts w:eastAsia="Times New Roman"/>
              </w:rPr>
            </w:pPr>
            <w:r>
              <w:rPr>
                <w:rFonts w:ascii="Arial" w:eastAsia="Times New Roman" w:hAnsi="Arial" w:cs="Arial"/>
                <w:sz w:val="16"/>
                <w:szCs w:val="16"/>
              </w:rPr>
              <w:t>(229.753,49)</w:t>
            </w:r>
          </w:p>
        </w:tc>
      </w:tr>
      <w:tr w:rsidR="00FE0C5A" w14:paraId="00C4E3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3D247F" w14:textId="77777777" w:rsidR="00FE0C5A" w:rsidRDefault="000C18DB" w:rsidP="00F113BD">
            <w:pPr>
              <w:spacing w:after="0"/>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E01F6" w14:textId="77777777" w:rsidR="00FE0C5A" w:rsidRDefault="000C18DB" w:rsidP="00F113BD">
            <w:pPr>
              <w:spacing w:after="0"/>
              <w:jc w:val="right"/>
              <w:rPr>
                <w:rFonts w:eastAsia="Times New Roman"/>
              </w:rPr>
            </w:pPr>
            <w:r>
              <w:rPr>
                <w:rFonts w:ascii="Arial" w:eastAsia="Times New Roman" w:hAnsi="Arial" w:cs="Arial"/>
                <w:sz w:val="16"/>
                <w:szCs w:val="16"/>
              </w:rPr>
              <w:t>(278.569,06)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E34E1" w14:textId="77777777" w:rsidR="00FE0C5A" w:rsidRDefault="000C18DB" w:rsidP="00F113BD">
            <w:pPr>
              <w:spacing w:after="0"/>
              <w:jc w:val="right"/>
              <w:rPr>
                <w:rFonts w:eastAsia="Times New Roman"/>
              </w:rPr>
            </w:pPr>
            <w:r>
              <w:rPr>
                <w:rFonts w:ascii="Arial" w:eastAsia="Times New Roman" w:hAnsi="Arial" w:cs="Arial"/>
                <w:sz w:val="16"/>
                <w:szCs w:val="16"/>
              </w:rPr>
              <w:t>(558.169,58)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F4E8A" w14:textId="77777777" w:rsidR="00FE0C5A" w:rsidRDefault="000C18DB" w:rsidP="00F113BD">
            <w:pPr>
              <w:spacing w:after="0"/>
              <w:jc w:val="right"/>
              <w:rPr>
                <w:rFonts w:eastAsia="Times New Roman"/>
              </w:rPr>
            </w:pPr>
            <w:r>
              <w:rPr>
                <w:rFonts w:ascii="Arial" w:eastAsia="Times New Roman" w:hAnsi="Arial" w:cs="Arial"/>
                <w:sz w:val="16"/>
                <w:szCs w:val="16"/>
              </w:rPr>
              <w:t>(530.625,80)</w:t>
            </w:r>
          </w:p>
        </w:tc>
      </w:tr>
      <w:tr w:rsidR="00FE0C5A" w14:paraId="6D3DC1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64A10B" w14:textId="77777777" w:rsidR="00FE0C5A" w:rsidRDefault="000C18DB" w:rsidP="00F113BD">
            <w:pPr>
              <w:spacing w:after="0"/>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2EDD9" w14:textId="77777777" w:rsidR="00FE0C5A" w:rsidRDefault="000C18DB" w:rsidP="00F113BD">
            <w:pPr>
              <w:spacing w:after="0"/>
              <w:jc w:val="right"/>
              <w:rPr>
                <w:rFonts w:eastAsia="Times New Roman"/>
              </w:rPr>
            </w:pPr>
            <w:r>
              <w:rPr>
                <w:rFonts w:ascii="Arial" w:eastAsia="Times New Roman" w:hAnsi="Arial" w:cs="Arial"/>
                <w:sz w:val="16"/>
                <w:szCs w:val="16"/>
              </w:rPr>
              <w:t>(126.898,84)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B94C8" w14:textId="77777777" w:rsidR="00FE0C5A" w:rsidRDefault="000C18DB" w:rsidP="00F113BD">
            <w:pPr>
              <w:spacing w:after="0"/>
              <w:jc w:val="right"/>
              <w:rPr>
                <w:rFonts w:eastAsia="Times New Roman"/>
              </w:rPr>
            </w:pPr>
            <w:r>
              <w:rPr>
                <w:rFonts w:ascii="Arial" w:eastAsia="Times New Roman" w:hAnsi="Arial" w:cs="Arial"/>
                <w:sz w:val="16"/>
                <w:szCs w:val="16"/>
              </w:rPr>
              <w:t>(256.863,94)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790E1" w14:textId="77777777" w:rsidR="00FE0C5A" w:rsidRDefault="000C18DB" w:rsidP="00F113BD">
            <w:pPr>
              <w:spacing w:after="0"/>
              <w:jc w:val="right"/>
              <w:rPr>
                <w:rFonts w:eastAsia="Times New Roman"/>
              </w:rPr>
            </w:pPr>
            <w:r>
              <w:rPr>
                <w:rFonts w:ascii="Arial" w:eastAsia="Times New Roman" w:hAnsi="Arial" w:cs="Arial"/>
                <w:sz w:val="16"/>
                <w:szCs w:val="16"/>
              </w:rPr>
              <w:t>(262.483,28)</w:t>
            </w:r>
          </w:p>
        </w:tc>
      </w:tr>
      <w:tr w:rsidR="00FE0C5A" w14:paraId="41CDA9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573C9" w14:textId="77777777" w:rsidR="00FE0C5A" w:rsidRDefault="000C18DB" w:rsidP="00F113BD">
            <w:pPr>
              <w:spacing w:after="0"/>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7E506" w14:textId="77777777" w:rsidR="00FE0C5A" w:rsidRDefault="000C18DB" w:rsidP="00F113BD">
            <w:pPr>
              <w:spacing w:after="0"/>
              <w:jc w:val="right"/>
              <w:rPr>
                <w:rFonts w:eastAsia="Times New Roman"/>
              </w:rPr>
            </w:pPr>
            <w:r>
              <w:rPr>
                <w:rFonts w:ascii="Arial" w:eastAsia="Times New Roman" w:hAnsi="Arial" w:cs="Arial"/>
                <w:sz w:val="16"/>
                <w:szCs w:val="16"/>
              </w:rPr>
              <w:t>(109.734,27)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9EC86" w14:textId="77777777" w:rsidR="00FE0C5A" w:rsidRDefault="000C18DB" w:rsidP="00F113BD">
            <w:pPr>
              <w:spacing w:after="0"/>
              <w:jc w:val="right"/>
              <w:rPr>
                <w:rFonts w:eastAsia="Times New Roman"/>
              </w:rPr>
            </w:pPr>
            <w:r>
              <w:rPr>
                <w:rFonts w:ascii="Arial" w:eastAsia="Times New Roman" w:hAnsi="Arial" w:cs="Arial"/>
                <w:sz w:val="16"/>
                <w:szCs w:val="16"/>
              </w:rPr>
              <w:t>(242.858,83)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3A63F" w14:textId="77777777" w:rsidR="00FE0C5A" w:rsidRDefault="000C18DB" w:rsidP="00F113BD">
            <w:pPr>
              <w:spacing w:after="0"/>
              <w:jc w:val="right"/>
              <w:rPr>
                <w:rFonts w:eastAsia="Times New Roman"/>
              </w:rPr>
            </w:pPr>
            <w:r>
              <w:rPr>
                <w:rFonts w:ascii="Arial" w:eastAsia="Times New Roman" w:hAnsi="Arial" w:cs="Arial"/>
                <w:sz w:val="16"/>
                <w:szCs w:val="16"/>
              </w:rPr>
              <w:t>(232.969,15)</w:t>
            </w:r>
          </w:p>
        </w:tc>
      </w:tr>
      <w:tr w:rsidR="00FE0C5A" w14:paraId="15FAB6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E70C89" w14:textId="77777777" w:rsidR="00FE0C5A" w:rsidRDefault="000C18DB" w:rsidP="00F113BD">
            <w:pPr>
              <w:spacing w:after="0"/>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89CA3" w14:textId="77777777" w:rsidR="00FE0C5A" w:rsidRDefault="000C18DB" w:rsidP="00F113BD">
            <w:pPr>
              <w:spacing w:after="0"/>
              <w:jc w:val="right"/>
              <w:rPr>
                <w:rFonts w:eastAsia="Times New Roman"/>
              </w:rPr>
            </w:pPr>
            <w:r>
              <w:rPr>
                <w:rFonts w:ascii="Arial" w:eastAsia="Times New Roman" w:hAnsi="Arial" w:cs="Arial"/>
                <w:sz w:val="16"/>
                <w:szCs w:val="16"/>
              </w:rPr>
              <w:t>(7.003,42)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E1440" w14:textId="77777777" w:rsidR="00FE0C5A" w:rsidRDefault="000C18DB" w:rsidP="00F113BD">
            <w:pPr>
              <w:spacing w:after="0"/>
              <w:jc w:val="right"/>
              <w:rPr>
                <w:rFonts w:eastAsia="Times New Roman"/>
              </w:rPr>
            </w:pPr>
            <w:r>
              <w:rPr>
                <w:rFonts w:ascii="Arial" w:eastAsia="Times New Roman" w:hAnsi="Arial" w:cs="Arial"/>
                <w:sz w:val="16"/>
                <w:szCs w:val="16"/>
              </w:rPr>
              <w:t>(19.942,35)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B989E" w14:textId="77777777" w:rsidR="00FE0C5A" w:rsidRDefault="000C18DB" w:rsidP="00F113BD">
            <w:pPr>
              <w:spacing w:after="0"/>
              <w:jc w:val="right"/>
              <w:rPr>
                <w:rFonts w:eastAsia="Times New Roman"/>
              </w:rPr>
            </w:pPr>
            <w:r>
              <w:rPr>
                <w:rFonts w:ascii="Arial" w:eastAsia="Times New Roman" w:hAnsi="Arial" w:cs="Arial"/>
                <w:sz w:val="16"/>
                <w:szCs w:val="16"/>
              </w:rPr>
              <w:t>(20.109,88)</w:t>
            </w:r>
          </w:p>
        </w:tc>
      </w:tr>
      <w:tr w:rsidR="00FE0C5A" w14:paraId="1B130C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2B887B" w14:textId="77777777" w:rsidR="00FE0C5A" w:rsidRDefault="000C18DB" w:rsidP="00F113BD">
            <w:pPr>
              <w:spacing w:after="0"/>
              <w:rPr>
                <w:rFonts w:eastAsia="Times New Roman"/>
              </w:rPr>
            </w:pPr>
            <w:r>
              <w:rPr>
                <w:rFonts w:ascii="Arial" w:eastAsia="Times New Roman" w:hAnsi="Arial" w:cs="Arial"/>
                <w:sz w:val="16"/>
                <w:szCs w:val="16"/>
              </w:rPr>
              <w:t xml:space="preserve">Despesas de Depreciação/Amortização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FAFFF" w14:textId="77777777" w:rsidR="00FE0C5A" w:rsidRDefault="000C18DB" w:rsidP="00F113BD">
            <w:pPr>
              <w:spacing w:after="0"/>
              <w:jc w:val="right"/>
              <w:rPr>
                <w:rFonts w:eastAsia="Times New Roman"/>
              </w:rPr>
            </w:pPr>
            <w:r>
              <w:rPr>
                <w:rFonts w:ascii="Arial" w:eastAsia="Times New Roman" w:hAnsi="Arial" w:cs="Arial"/>
                <w:sz w:val="16"/>
                <w:szCs w:val="16"/>
              </w:rPr>
              <w:t>(297.136,96)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FB742" w14:textId="77777777" w:rsidR="00FE0C5A" w:rsidRDefault="000C18DB" w:rsidP="00F113BD">
            <w:pPr>
              <w:spacing w:after="0"/>
              <w:jc w:val="right"/>
              <w:rPr>
                <w:rFonts w:eastAsia="Times New Roman"/>
              </w:rPr>
            </w:pPr>
            <w:r>
              <w:rPr>
                <w:rFonts w:ascii="Arial" w:eastAsia="Times New Roman" w:hAnsi="Arial" w:cs="Arial"/>
                <w:sz w:val="16"/>
                <w:szCs w:val="16"/>
              </w:rPr>
              <w:t>(568.510,06)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62EEE" w14:textId="77777777" w:rsidR="00FE0C5A" w:rsidRDefault="000C18DB" w:rsidP="00F113BD">
            <w:pPr>
              <w:spacing w:after="0"/>
              <w:jc w:val="right"/>
              <w:rPr>
                <w:rFonts w:eastAsia="Times New Roman"/>
              </w:rPr>
            </w:pPr>
            <w:r>
              <w:rPr>
                <w:rFonts w:ascii="Arial" w:eastAsia="Times New Roman" w:hAnsi="Arial" w:cs="Arial"/>
                <w:sz w:val="16"/>
                <w:szCs w:val="16"/>
              </w:rPr>
              <w:t>(398.761,95)</w:t>
            </w:r>
          </w:p>
        </w:tc>
      </w:tr>
      <w:tr w:rsidR="00FE0C5A" w14:paraId="7F0D30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D9DC67" w14:textId="0B0B6BA8" w:rsidR="00FE0C5A" w:rsidRDefault="000C18DB" w:rsidP="00F113BD">
            <w:pPr>
              <w:spacing w:after="0"/>
              <w:rPr>
                <w:rFonts w:eastAsia="Times New Roman"/>
              </w:rPr>
            </w:pPr>
            <w:r>
              <w:rPr>
                <w:rFonts w:ascii="Arial" w:eastAsia="Times New Roman" w:hAnsi="Arial" w:cs="Arial"/>
                <w:sz w:val="16"/>
                <w:szCs w:val="16"/>
              </w:rPr>
              <w:lastRenderedPageBreak/>
              <w:t>Outras Despesas Administrativas</w:t>
            </w:r>
            <w:r w:rsidR="004565FC">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944EA" w14:textId="77777777" w:rsidR="00FE0C5A" w:rsidRDefault="000C18DB" w:rsidP="00F113BD">
            <w:pPr>
              <w:spacing w:after="0"/>
              <w:jc w:val="right"/>
              <w:rPr>
                <w:rFonts w:eastAsia="Times New Roman"/>
              </w:rPr>
            </w:pPr>
            <w:r>
              <w:rPr>
                <w:rFonts w:ascii="Arial" w:eastAsia="Times New Roman" w:hAnsi="Arial" w:cs="Arial"/>
                <w:sz w:val="16"/>
                <w:szCs w:val="16"/>
              </w:rPr>
              <w:t>(567.308,64)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5BB9F" w14:textId="77777777" w:rsidR="00FE0C5A" w:rsidRDefault="000C18DB" w:rsidP="00F113BD">
            <w:pPr>
              <w:spacing w:after="0"/>
              <w:jc w:val="right"/>
              <w:rPr>
                <w:rFonts w:eastAsia="Times New Roman"/>
              </w:rPr>
            </w:pPr>
            <w:r>
              <w:rPr>
                <w:rFonts w:ascii="Arial" w:eastAsia="Times New Roman" w:hAnsi="Arial" w:cs="Arial"/>
                <w:sz w:val="16"/>
                <w:szCs w:val="16"/>
              </w:rPr>
              <w:t>(1.110.410,69)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B8AEB" w14:textId="77777777" w:rsidR="00FE0C5A" w:rsidRDefault="000C18DB" w:rsidP="00F113BD">
            <w:pPr>
              <w:spacing w:after="0"/>
              <w:jc w:val="right"/>
              <w:rPr>
                <w:rFonts w:eastAsia="Times New Roman"/>
              </w:rPr>
            </w:pPr>
            <w:r>
              <w:rPr>
                <w:rFonts w:ascii="Arial" w:eastAsia="Times New Roman" w:hAnsi="Arial" w:cs="Arial"/>
                <w:sz w:val="16"/>
                <w:szCs w:val="16"/>
              </w:rPr>
              <w:t>(981.500,79)</w:t>
            </w:r>
          </w:p>
        </w:tc>
      </w:tr>
      <w:tr w:rsidR="00FE0C5A" w14:paraId="1DCF9F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FC9598" w14:textId="62510CB8" w:rsidR="00FE0C5A" w:rsidRDefault="000C18DB" w:rsidP="004565FC">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3AAD4" w14:textId="77777777" w:rsidR="00FE0C5A" w:rsidRDefault="000C18DB" w:rsidP="00F113BD">
            <w:pPr>
              <w:spacing w:after="0"/>
              <w:jc w:val="right"/>
              <w:rPr>
                <w:rFonts w:eastAsia="Times New Roman"/>
              </w:rPr>
            </w:pPr>
            <w:r>
              <w:rPr>
                <w:rFonts w:ascii="Arial" w:eastAsia="Times New Roman" w:hAnsi="Arial" w:cs="Arial"/>
                <w:b/>
                <w:bCs/>
                <w:sz w:val="16"/>
                <w:szCs w:val="16"/>
              </w:rPr>
              <w:t>(3.421.138,08)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D7336" w14:textId="77777777" w:rsidR="00FE0C5A" w:rsidRDefault="000C18DB" w:rsidP="00F113BD">
            <w:pPr>
              <w:spacing w:after="0"/>
              <w:jc w:val="right"/>
              <w:rPr>
                <w:rFonts w:eastAsia="Times New Roman"/>
              </w:rPr>
            </w:pPr>
            <w:r>
              <w:rPr>
                <w:rFonts w:ascii="Arial" w:eastAsia="Times New Roman" w:hAnsi="Arial" w:cs="Arial"/>
                <w:b/>
                <w:bCs/>
                <w:sz w:val="16"/>
                <w:szCs w:val="16"/>
              </w:rPr>
              <w:t>(6.671.542,13)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9C38C" w14:textId="77777777" w:rsidR="00FE0C5A" w:rsidRDefault="000C18DB" w:rsidP="00F113BD">
            <w:pPr>
              <w:spacing w:after="0"/>
              <w:jc w:val="right"/>
              <w:rPr>
                <w:rFonts w:eastAsia="Times New Roman"/>
              </w:rPr>
            </w:pPr>
            <w:r>
              <w:rPr>
                <w:rFonts w:ascii="Arial" w:eastAsia="Times New Roman" w:hAnsi="Arial" w:cs="Arial"/>
                <w:b/>
                <w:bCs/>
                <w:sz w:val="16"/>
                <w:szCs w:val="16"/>
              </w:rPr>
              <w:t>(5.798.528,79)</w:t>
            </w:r>
          </w:p>
        </w:tc>
      </w:tr>
    </w:tbl>
    <w:p w14:paraId="5CB69BE5" w14:textId="77777777" w:rsidR="00FE0C5A" w:rsidRDefault="000C18DB">
      <w:pPr>
        <w:pStyle w:val="NormalWeb"/>
      </w:pPr>
      <w:r>
        <w:rPr>
          <w:rFonts w:ascii="Arial" w:hAnsi="Arial" w:cs="Arial"/>
          <w:sz w:val="20"/>
          <w:szCs w:val="20"/>
        </w:rPr>
        <w:t xml:space="preserve">a) Os </w:t>
      </w:r>
      <w:r>
        <w:rPr>
          <w:rFonts w:ascii="Arial" w:hAnsi="Arial" w:cs="Arial"/>
          <w:sz w:val="20"/>
          <w:szCs w:val="20"/>
        </w:rPr>
        <w:t>saldos das Outras Despesas Administrativas estão compostos:</w:t>
      </w:r>
    </w:p>
    <w:tbl>
      <w:tblPr>
        <w:tblW w:w="5000" w:type="pct"/>
        <w:tblCellMar>
          <w:left w:w="0" w:type="dxa"/>
          <w:right w:w="0" w:type="dxa"/>
        </w:tblCellMar>
        <w:tblLook w:val="04A0" w:firstRow="1" w:lastRow="0" w:firstColumn="1" w:lastColumn="0" w:noHBand="0" w:noVBand="1"/>
      </w:tblPr>
      <w:tblGrid>
        <w:gridCol w:w="4860"/>
        <w:gridCol w:w="1636"/>
        <w:gridCol w:w="1856"/>
        <w:gridCol w:w="1636"/>
      </w:tblGrid>
      <w:tr w:rsidR="00FE0C5A" w14:paraId="591C58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877BD4"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6537A"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D3288"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8629F"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1DACD5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6C142B" w14:textId="77777777" w:rsidR="00FE0C5A" w:rsidRDefault="000C18DB" w:rsidP="00F113BD">
            <w:pPr>
              <w:spacing w:after="0"/>
              <w:rPr>
                <w:rFonts w:eastAsia="Times New Roman"/>
              </w:rPr>
            </w:pPr>
            <w:r>
              <w:rPr>
                <w:rFonts w:ascii="Arial" w:eastAsia="Times New Roman" w:hAnsi="Arial" w:cs="Arial"/>
                <w:sz w:val="16"/>
                <w:szCs w:val="16"/>
              </w:rPr>
              <w:t>Livros jornais e revistas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E76BB"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DDE3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2CE9B" w14:textId="77777777" w:rsidR="00FE0C5A" w:rsidRDefault="000C18DB" w:rsidP="00F113BD">
            <w:pPr>
              <w:spacing w:after="0"/>
              <w:jc w:val="right"/>
              <w:rPr>
                <w:rFonts w:eastAsia="Times New Roman"/>
              </w:rPr>
            </w:pPr>
            <w:r>
              <w:rPr>
                <w:rFonts w:ascii="Arial" w:eastAsia="Times New Roman" w:hAnsi="Arial" w:cs="Arial"/>
                <w:sz w:val="16"/>
                <w:szCs w:val="16"/>
              </w:rPr>
              <w:t>(22.630,00)</w:t>
            </w:r>
          </w:p>
        </w:tc>
      </w:tr>
      <w:tr w:rsidR="00FE0C5A" w14:paraId="0AC454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9A4845" w14:textId="77777777" w:rsidR="00FE0C5A" w:rsidRDefault="000C18DB" w:rsidP="00F113BD">
            <w:pPr>
              <w:spacing w:after="0"/>
              <w:rPr>
                <w:rFonts w:eastAsia="Times New Roman"/>
              </w:rPr>
            </w:pPr>
            <w:r>
              <w:rPr>
                <w:rFonts w:ascii="Arial" w:eastAsia="Times New Roman" w:hAnsi="Arial" w:cs="Arial"/>
                <w:sz w:val="16"/>
                <w:szCs w:val="16"/>
              </w:rPr>
              <w:t>Condomínio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32E1F" w14:textId="77777777" w:rsidR="00FE0C5A" w:rsidRDefault="000C18DB" w:rsidP="00F113BD">
            <w:pPr>
              <w:spacing w:after="0"/>
              <w:jc w:val="right"/>
              <w:rPr>
                <w:rFonts w:eastAsia="Times New Roman"/>
              </w:rPr>
            </w:pPr>
            <w:r>
              <w:rPr>
                <w:rFonts w:ascii="Arial" w:eastAsia="Times New Roman" w:hAnsi="Arial" w:cs="Arial"/>
                <w:sz w:val="16"/>
                <w:szCs w:val="16"/>
              </w:rPr>
              <w:t>(514,00)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D37CC" w14:textId="77777777" w:rsidR="00FE0C5A" w:rsidRDefault="000C18DB" w:rsidP="00F113BD">
            <w:pPr>
              <w:spacing w:after="0"/>
              <w:jc w:val="right"/>
              <w:rPr>
                <w:rFonts w:eastAsia="Times New Roman"/>
              </w:rPr>
            </w:pPr>
            <w:r>
              <w:rPr>
                <w:rFonts w:ascii="Arial" w:eastAsia="Times New Roman" w:hAnsi="Arial" w:cs="Arial"/>
                <w:sz w:val="16"/>
                <w:szCs w:val="16"/>
              </w:rPr>
              <w:t>(514,00)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27376"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2A729F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E4DC69" w14:textId="77777777" w:rsidR="00FE0C5A" w:rsidRDefault="000C18DB" w:rsidP="00F113BD">
            <w:pPr>
              <w:spacing w:after="0"/>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86835" w14:textId="77777777" w:rsidR="00FE0C5A" w:rsidRDefault="000C18DB" w:rsidP="00F113BD">
            <w:pPr>
              <w:spacing w:after="0"/>
              <w:jc w:val="right"/>
              <w:rPr>
                <w:rFonts w:eastAsia="Times New Roman"/>
              </w:rPr>
            </w:pPr>
            <w:r>
              <w:rPr>
                <w:rFonts w:ascii="Arial" w:eastAsia="Times New Roman" w:hAnsi="Arial" w:cs="Arial"/>
                <w:sz w:val="16"/>
                <w:szCs w:val="16"/>
              </w:rPr>
              <w:t>(51.437,09)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29EB4" w14:textId="77777777" w:rsidR="00FE0C5A" w:rsidRDefault="000C18DB" w:rsidP="00F113BD">
            <w:pPr>
              <w:spacing w:after="0"/>
              <w:jc w:val="right"/>
              <w:rPr>
                <w:rFonts w:eastAsia="Times New Roman"/>
              </w:rPr>
            </w:pPr>
            <w:r>
              <w:rPr>
                <w:rFonts w:ascii="Arial" w:eastAsia="Times New Roman" w:hAnsi="Arial" w:cs="Arial"/>
                <w:sz w:val="16"/>
                <w:szCs w:val="16"/>
              </w:rPr>
              <w:t>(118.530,93)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F5D7F" w14:textId="77777777" w:rsidR="00FE0C5A" w:rsidRDefault="000C18DB" w:rsidP="00F113BD">
            <w:pPr>
              <w:spacing w:after="0"/>
              <w:jc w:val="right"/>
              <w:rPr>
                <w:rFonts w:eastAsia="Times New Roman"/>
              </w:rPr>
            </w:pPr>
            <w:r>
              <w:rPr>
                <w:rFonts w:ascii="Arial" w:eastAsia="Times New Roman" w:hAnsi="Arial" w:cs="Arial"/>
                <w:sz w:val="16"/>
                <w:szCs w:val="16"/>
              </w:rPr>
              <w:t>(51.380,16)</w:t>
            </w:r>
          </w:p>
        </w:tc>
      </w:tr>
      <w:tr w:rsidR="00FE0C5A" w14:paraId="49E1D9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5E3E48" w14:textId="77777777" w:rsidR="00FE0C5A" w:rsidRDefault="000C18DB" w:rsidP="00F113BD">
            <w:pPr>
              <w:spacing w:after="0"/>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813E4" w14:textId="77777777" w:rsidR="00FE0C5A" w:rsidRDefault="000C18DB" w:rsidP="00F113BD">
            <w:pPr>
              <w:spacing w:after="0"/>
              <w:jc w:val="right"/>
              <w:rPr>
                <w:rFonts w:eastAsia="Times New Roman"/>
              </w:rPr>
            </w:pPr>
            <w:r>
              <w:rPr>
                <w:rFonts w:ascii="Arial" w:eastAsia="Times New Roman" w:hAnsi="Arial" w:cs="Arial"/>
                <w:sz w:val="16"/>
                <w:szCs w:val="16"/>
              </w:rPr>
              <w:t>(2.757,98)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FF375" w14:textId="77777777" w:rsidR="00FE0C5A" w:rsidRDefault="000C18DB" w:rsidP="00F113BD">
            <w:pPr>
              <w:spacing w:after="0"/>
              <w:jc w:val="right"/>
              <w:rPr>
                <w:rFonts w:eastAsia="Times New Roman"/>
              </w:rPr>
            </w:pPr>
            <w:r>
              <w:rPr>
                <w:rFonts w:ascii="Arial" w:eastAsia="Times New Roman" w:hAnsi="Arial" w:cs="Arial"/>
                <w:sz w:val="16"/>
                <w:szCs w:val="16"/>
              </w:rPr>
              <w:t>(6.842,50)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BC358" w14:textId="77777777" w:rsidR="00FE0C5A" w:rsidRDefault="000C18DB" w:rsidP="00F113BD">
            <w:pPr>
              <w:spacing w:after="0"/>
              <w:jc w:val="right"/>
              <w:rPr>
                <w:rFonts w:eastAsia="Times New Roman"/>
              </w:rPr>
            </w:pPr>
            <w:r>
              <w:rPr>
                <w:rFonts w:ascii="Arial" w:eastAsia="Times New Roman" w:hAnsi="Arial" w:cs="Arial"/>
                <w:sz w:val="16"/>
                <w:szCs w:val="16"/>
              </w:rPr>
              <w:t>(3.058,79)</w:t>
            </w:r>
          </w:p>
        </w:tc>
      </w:tr>
      <w:tr w:rsidR="00FE0C5A" w14:paraId="69C977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71C2C4" w14:textId="77777777" w:rsidR="00FE0C5A" w:rsidRDefault="000C18DB" w:rsidP="00F113BD">
            <w:pPr>
              <w:spacing w:after="0"/>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9D476" w14:textId="77777777" w:rsidR="00FE0C5A" w:rsidRDefault="000C18DB" w:rsidP="00F113BD">
            <w:pPr>
              <w:spacing w:after="0"/>
              <w:jc w:val="right"/>
              <w:rPr>
                <w:rFonts w:eastAsia="Times New Roman"/>
              </w:rPr>
            </w:pPr>
            <w:r>
              <w:rPr>
                <w:rFonts w:ascii="Arial" w:eastAsia="Times New Roman" w:hAnsi="Arial" w:cs="Arial"/>
                <w:sz w:val="16"/>
                <w:szCs w:val="16"/>
              </w:rPr>
              <w:t>(31.475,80)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88511" w14:textId="77777777" w:rsidR="00FE0C5A" w:rsidRDefault="000C18DB" w:rsidP="00F113BD">
            <w:pPr>
              <w:spacing w:after="0"/>
              <w:jc w:val="right"/>
              <w:rPr>
                <w:rFonts w:eastAsia="Times New Roman"/>
              </w:rPr>
            </w:pPr>
            <w:r>
              <w:rPr>
                <w:rFonts w:ascii="Arial" w:eastAsia="Times New Roman" w:hAnsi="Arial" w:cs="Arial"/>
                <w:sz w:val="16"/>
                <w:szCs w:val="16"/>
              </w:rPr>
              <w:t>(57.641,94)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59A9E" w14:textId="77777777" w:rsidR="00FE0C5A" w:rsidRDefault="000C18DB" w:rsidP="00F113BD">
            <w:pPr>
              <w:spacing w:after="0"/>
              <w:jc w:val="right"/>
              <w:rPr>
                <w:rFonts w:eastAsia="Times New Roman"/>
              </w:rPr>
            </w:pPr>
            <w:r>
              <w:rPr>
                <w:rFonts w:ascii="Arial" w:eastAsia="Times New Roman" w:hAnsi="Arial" w:cs="Arial"/>
                <w:sz w:val="16"/>
                <w:szCs w:val="16"/>
              </w:rPr>
              <w:t>(54.301,79)</w:t>
            </w:r>
          </w:p>
        </w:tc>
      </w:tr>
      <w:tr w:rsidR="00FE0C5A" w14:paraId="297716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EC6E73" w14:textId="77777777" w:rsidR="00FE0C5A" w:rsidRDefault="000C18DB" w:rsidP="00F113BD">
            <w:pPr>
              <w:spacing w:after="0"/>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631D5" w14:textId="77777777" w:rsidR="00FE0C5A" w:rsidRDefault="000C18DB" w:rsidP="00F113BD">
            <w:pPr>
              <w:spacing w:after="0"/>
              <w:jc w:val="right"/>
              <w:rPr>
                <w:rFonts w:eastAsia="Times New Roman"/>
              </w:rPr>
            </w:pPr>
            <w:r>
              <w:rPr>
                <w:rFonts w:ascii="Arial" w:eastAsia="Times New Roman" w:hAnsi="Arial" w:cs="Arial"/>
                <w:sz w:val="16"/>
                <w:szCs w:val="16"/>
              </w:rPr>
              <w:t>(426,53)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27C31" w14:textId="77777777" w:rsidR="00FE0C5A" w:rsidRDefault="000C18DB" w:rsidP="00F113BD">
            <w:pPr>
              <w:spacing w:after="0"/>
              <w:jc w:val="right"/>
              <w:rPr>
                <w:rFonts w:eastAsia="Times New Roman"/>
              </w:rPr>
            </w:pPr>
            <w:r>
              <w:rPr>
                <w:rFonts w:ascii="Arial" w:eastAsia="Times New Roman" w:hAnsi="Arial" w:cs="Arial"/>
                <w:sz w:val="16"/>
                <w:szCs w:val="16"/>
              </w:rPr>
              <w:t>(5.534,85)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32609" w14:textId="77777777" w:rsidR="00FE0C5A" w:rsidRDefault="000C18DB" w:rsidP="00F113BD">
            <w:pPr>
              <w:spacing w:after="0"/>
              <w:jc w:val="right"/>
              <w:rPr>
                <w:rFonts w:eastAsia="Times New Roman"/>
              </w:rPr>
            </w:pPr>
            <w:r>
              <w:rPr>
                <w:rFonts w:ascii="Arial" w:eastAsia="Times New Roman" w:hAnsi="Arial" w:cs="Arial"/>
                <w:sz w:val="16"/>
                <w:szCs w:val="16"/>
              </w:rPr>
              <w:t>(43.697,70)</w:t>
            </w:r>
          </w:p>
        </w:tc>
      </w:tr>
      <w:tr w:rsidR="00FE0C5A" w14:paraId="1704DC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B9BB14" w14:textId="77777777" w:rsidR="00FE0C5A" w:rsidRDefault="000C18DB" w:rsidP="00F113BD">
            <w:pPr>
              <w:spacing w:after="0"/>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ADFEE"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D9C5B"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4224E" w14:textId="77777777" w:rsidR="00FE0C5A" w:rsidRDefault="000C18DB" w:rsidP="00F113BD">
            <w:pPr>
              <w:spacing w:after="0"/>
              <w:jc w:val="right"/>
              <w:rPr>
                <w:rFonts w:eastAsia="Times New Roman"/>
              </w:rPr>
            </w:pPr>
            <w:r>
              <w:rPr>
                <w:rFonts w:ascii="Arial" w:eastAsia="Times New Roman" w:hAnsi="Arial" w:cs="Arial"/>
                <w:sz w:val="16"/>
                <w:szCs w:val="16"/>
              </w:rPr>
              <w:t>(62.250,05)</w:t>
            </w:r>
          </w:p>
        </w:tc>
      </w:tr>
      <w:tr w:rsidR="00FE0C5A" w14:paraId="37B1D9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901115" w14:textId="77777777" w:rsidR="00FE0C5A" w:rsidRDefault="000C18DB" w:rsidP="00F113BD">
            <w:pPr>
              <w:spacing w:after="0"/>
              <w:rPr>
                <w:rFonts w:eastAsia="Times New Roman"/>
              </w:rPr>
            </w:pPr>
            <w:r>
              <w:rPr>
                <w:rFonts w:ascii="Arial" w:eastAsia="Times New Roman" w:hAnsi="Arial" w:cs="Arial"/>
                <w:sz w:val="16"/>
                <w:szCs w:val="16"/>
              </w:rPr>
              <w:t>Impostos e taxas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C2640" w14:textId="77777777" w:rsidR="00FE0C5A" w:rsidRDefault="000C18DB" w:rsidP="00F113BD">
            <w:pPr>
              <w:spacing w:after="0"/>
              <w:jc w:val="right"/>
              <w:rPr>
                <w:rFonts w:eastAsia="Times New Roman"/>
              </w:rPr>
            </w:pPr>
            <w:r>
              <w:rPr>
                <w:rFonts w:ascii="Arial" w:eastAsia="Times New Roman" w:hAnsi="Arial" w:cs="Arial"/>
                <w:sz w:val="16"/>
                <w:szCs w:val="16"/>
              </w:rPr>
              <w:t>(5.533,34)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33FF" w14:textId="77777777" w:rsidR="00FE0C5A" w:rsidRDefault="000C18DB" w:rsidP="00F113BD">
            <w:pPr>
              <w:spacing w:after="0"/>
              <w:jc w:val="right"/>
              <w:rPr>
                <w:rFonts w:eastAsia="Times New Roman"/>
              </w:rPr>
            </w:pPr>
            <w:r>
              <w:rPr>
                <w:rFonts w:ascii="Arial" w:eastAsia="Times New Roman" w:hAnsi="Arial" w:cs="Arial"/>
                <w:sz w:val="16"/>
                <w:szCs w:val="16"/>
              </w:rPr>
              <w:t>(7.116,66)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BBA2C" w14:textId="77777777" w:rsidR="00FE0C5A" w:rsidRDefault="000C18DB" w:rsidP="00F113BD">
            <w:pPr>
              <w:spacing w:after="0"/>
              <w:jc w:val="right"/>
              <w:rPr>
                <w:rFonts w:eastAsia="Times New Roman"/>
              </w:rPr>
            </w:pPr>
            <w:r>
              <w:rPr>
                <w:rFonts w:ascii="Arial" w:eastAsia="Times New Roman" w:hAnsi="Arial" w:cs="Arial"/>
                <w:sz w:val="16"/>
                <w:szCs w:val="16"/>
              </w:rPr>
              <w:t>(63,94)</w:t>
            </w:r>
          </w:p>
        </w:tc>
      </w:tr>
      <w:tr w:rsidR="00FE0C5A" w14:paraId="317E00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E8D0C8" w14:textId="77777777" w:rsidR="00FE0C5A" w:rsidRDefault="000C18DB" w:rsidP="00F113BD">
            <w:pPr>
              <w:spacing w:after="0"/>
              <w:rPr>
                <w:rFonts w:eastAsia="Times New Roman"/>
              </w:rPr>
            </w:pPr>
            <w:r>
              <w:rPr>
                <w:rFonts w:ascii="Arial" w:eastAsia="Times New Roman" w:hAnsi="Arial" w:cs="Arial"/>
                <w:sz w:val="16"/>
                <w:szCs w:val="16"/>
              </w:rPr>
              <w:t>Marcas e patentes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E62A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B338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5795F" w14:textId="77777777" w:rsidR="00FE0C5A" w:rsidRDefault="000C18DB" w:rsidP="00F113BD">
            <w:pPr>
              <w:spacing w:after="0"/>
              <w:jc w:val="right"/>
              <w:rPr>
                <w:rFonts w:eastAsia="Times New Roman"/>
              </w:rPr>
            </w:pPr>
            <w:r>
              <w:rPr>
                <w:rFonts w:ascii="Arial" w:eastAsia="Times New Roman" w:hAnsi="Arial" w:cs="Arial"/>
                <w:sz w:val="16"/>
                <w:szCs w:val="16"/>
              </w:rPr>
              <w:t>(606,00)</w:t>
            </w:r>
          </w:p>
        </w:tc>
      </w:tr>
      <w:tr w:rsidR="00FE0C5A" w14:paraId="4EA2AA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E5801E" w14:textId="77777777" w:rsidR="00FE0C5A" w:rsidRDefault="000C18DB" w:rsidP="00F113BD">
            <w:pPr>
              <w:spacing w:after="0"/>
              <w:rPr>
                <w:rFonts w:eastAsia="Times New Roman"/>
              </w:rPr>
            </w:pPr>
            <w:r>
              <w:rPr>
                <w:rFonts w:ascii="Arial" w:eastAsia="Times New Roman" w:hAnsi="Arial" w:cs="Arial"/>
                <w:sz w:val="16"/>
                <w:szCs w:val="16"/>
              </w:rPr>
              <w:t>Sistema cooperativista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0EE65" w14:textId="77777777" w:rsidR="00FE0C5A" w:rsidRDefault="000C18DB" w:rsidP="00F113BD">
            <w:pPr>
              <w:spacing w:after="0"/>
              <w:jc w:val="right"/>
              <w:rPr>
                <w:rFonts w:eastAsia="Times New Roman"/>
              </w:rPr>
            </w:pPr>
            <w:r>
              <w:rPr>
                <w:rFonts w:ascii="Arial" w:eastAsia="Times New Roman" w:hAnsi="Arial" w:cs="Arial"/>
                <w:sz w:val="16"/>
                <w:szCs w:val="16"/>
              </w:rPr>
              <w:t>(36.255,60)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656F4" w14:textId="77777777" w:rsidR="00FE0C5A" w:rsidRDefault="000C18DB" w:rsidP="00F113BD">
            <w:pPr>
              <w:spacing w:after="0"/>
              <w:jc w:val="right"/>
              <w:rPr>
                <w:rFonts w:eastAsia="Times New Roman"/>
              </w:rPr>
            </w:pPr>
            <w:r>
              <w:rPr>
                <w:rFonts w:ascii="Arial" w:eastAsia="Times New Roman" w:hAnsi="Arial" w:cs="Arial"/>
                <w:sz w:val="16"/>
                <w:szCs w:val="16"/>
              </w:rPr>
              <w:t>(66.468,60)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2CCAD"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3E437C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622D61" w14:textId="77777777" w:rsidR="00FE0C5A" w:rsidRDefault="000C18DB" w:rsidP="00F113BD">
            <w:pPr>
              <w:spacing w:after="0"/>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3C3B8"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84FBE" w14:textId="77777777" w:rsidR="00FE0C5A" w:rsidRDefault="000C18DB" w:rsidP="00F113BD">
            <w:pPr>
              <w:spacing w:after="0"/>
              <w:jc w:val="right"/>
              <w:rPr>
                <w:rFonts w:eastAsia="Times New Roman"/>
              </w:rPr>
            </w:pPr>
            <w:r>
              <w:rPr>
                <w:rFonts w:ascii="Arial" w:eastAsia="Times New Roman" w:hAnsi="Arial" w:cs="Arial"/>
                <w:sz w:val="16"/>
                <w:szCs w:val="16"/>
              </w:rPr>
              <w:t>(1.201,00)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82D6C" w14:textId="77777777" w:rsidR="00FE0C5A" w:rsidRDefault="000C18DB" w:rsidP="00F113BD">
            <w:pPr>
              <w:spacing w:after="0"/>
              <w:jc w:val="right"/>
              <w:rPr>
                <w:rFonts w:eastAsia="Times New Roman"/>
              </w:rPr>
            </w:pPr>
            <w:r>
              <w:rPr>
                <w:rFonts w:ascii="Arial" w:eastAsia="Times New Roman" w:hAnsi="Arial" w:cs="Arial"/>
                <w:sz w:val="16"/>
                <w:szCs w:val="16"/>
              </w:rPr>
              <w:t>(1.170,70)</w:t>
            </w:r>
          </w:p>
        </w:tc>
      </w:tr>
      <w:tr w:rsidR="00FE0C5A" w14:paraId="2E8396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15969C" w14:textId="77777777" w:rsidR="00FE0C5A" w:rsidRDefault="000C18DB" w:rsidP="00F113BD">
            <w:pPr>
              <w:spacing w:after="0"/>
              <w:rPr>
                <w:rFonts w:eastAsia="Times New Roman"/>
              </w:rPr>
            </w:pPr>
            <w:r>
              <w:rPr>
                <w:rFonts w:ascii="Arial" w:eastAsia="Times New Roman" w:hAnsi="Arial" w:cs="Arial"/>
                <w:sz w:val="16"/>
                <w:szCs w:val="16"/>
              </w:rPr>
              <w:t>Coordenadores de 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FB5B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BF00B" w14:textId="77777777" w:rsidR="00FE0C5A" w:rsidRDefault="000C18DB" w:rsidP="00F113BD">
            <w:pPr>
              <w:spacing w:after="0"/>
              <w:jc w:val="right"/>
              <w:rPr>
                <w:rFonts w:eastAsia="Times New Roman"/>
              </w:rPr>
            </w:pPr>
            <w:r>
              <w:rPr>
                <w:rFonts w:ascii="Arial" w:eastAsia="Times New Roman" w:hAnsi="Arial" w:cs="Arial"/>
                <w:sz w:val="16"/>
                <w:szCs w:val="16"/>
              </w:rPr>
              <w:t>(989,86)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4D4C6" w14:textId="77777777" w:rsidR="00FE0C5A" w:rsidRDefault="000C18DB" w:rsidP="00F113BD">
            <w:pPr>
              <w:spacing w:after="0"/>
              <w:jc w:val="right"/>
              <w:rPr>
                <w:rFonts w:eastAsia="Times New Roman"/>
              </w:rPr>
            </w:pPr>
            <w:r>
              <w:rPr>
                <w:rFonts w:ascii="Arial" w:eastAsia="Times New Roman" w:hAnsi="Arial" w:cs="Arial"/>
                <w:sz w:val="16"/>
                <w:szCs w:val="16"/>
              </w:rPr>
              <w:t>(8.234,41)</w:t>
            </w:r>
          </w:p>
        </w:tc>
      </w:tr>
      <w:tr w:rsidR="00FE0C5A" w14:paraId="53EA20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3785FF" w14:textId="77777777" w:rsidR="00FE0C5A" w:rsidRDefault="000C18DB" w:rsidP="00F113BD">
            <w:pPr>
              <w:spacing w:after="0"/>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C4EBF" w14:textId="77777777" w:rsidR="00FE0C5A" w:rsidRDefault="000C18DB" w:rsidP="00F113BD">
            <w:pPr>
              <w:spacing w:after="0"/>
              <w:jc w:val="right"/>
              <w:rPr>
                <w:rFonts w:eastAsia="Times New Roman"/>
              </w:rPr>
            </w:pPr>
            <w:r>
              <w:rPr>
                <w:rFonts w:ascii="Arial" w:eastAsia="Times New Roman" w:hAnsi="Arial" w:cs="Arial"/>
                <w:sz w:val="16"/>
                <w:szCs w:val="16"/>
              </w:rPr>
              <w:t>(237.252,26)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5B754" w14:textId="77777777" w:rsidR="00FE0C5A" w:rsidRDefault="000C18DB" w:rsidP="00F113BD">
            <w:pPr>
              <w:spacing w:after="0"/>
              <w:jc w:val="right"/>
              <w:rPr>
                <w:rFonts w:eastAsia="Times New Roman"/>
              </w:rPr>
            </w:pPr>
            <w:r>
              <w:rPr>
                <w:rFonts w:ascii="Arial" w:eastAsia="Times New Roman" w:hAnsi="Arial" w:cs="Arial"/>
                <w:sz w:val="16"/>
                <w:szCs w:val="16"/>
              </w:rPr>
              <w:t>(471.497,69)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6BF00" w14:textId="77777777" w:rsidR="00FE0C5A" w:rsidRDefault="000C18DB" w:rsidP="00F113BD">
            <w:pPr>
              <w:spacing w:after="0"/>
              <w:jc w:val="right"/>
              <w:rPr>
                <w:rFonts w:eastAsia="Times New Roman"/>
              </w:rPr>
            </w:pPr>
            <w:r>
              <w:rPr>
                <w:rFonts w:ascii="Arial" w:eastAsia="Times New Roman" w:hAnsi="Arial" w:cs="Arial"/>
                <w:sz w:val="16"/>
                <w:szCs w:val="16"/>
              </w:rPr>
              <w:t>(376.496,76)</w:t>
            </w:r>
          </w:p>
        </w:tc>
      </w:tr>
      <w:tr w:rsidR="00FE0C5A" w14:paraId="63A626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E5BE0B" w14:textId="77777777" w:rsidR="00FE0C5A" w:rsidRDefault="000C18DB" w:rsidP="00F113BD">
            <w:pPr>
              <w:spacing w:after="0"/>
              <w:rPr>
                <w:rFonts w:eastAsia="Times New Roman"/>
              </w:rPr>
            </w:pPr>
            <w:r>
              <w:rPr>
                <w:rFonts w:ascii="Arial" w:eastAsia="Times New Roman" w:hAnsi="Arial" w:cs="Arial"/>
                <w:sz w:val="16"/>
                <w:szCs w:val="16"/>
              </w:rPr>
              <w:t>Microfilmagem de documentos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890A0"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121CA"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A3027" w14:textId="77777777" w:rsidR="00FE0C5A" w:rsidRDefault="000C18DB" w:rsidP="00F113BD">
            <w:pPr>
              <w:spacing w:after="0"/>
              <w:jc w:val="right"/>
              <w:rPr>
                <w:rFonts w:eastAsia="Times New Roman"/>
              </w:rPr>
            </w:pPr>
            <w:r>
              <w:rPr>
                <w:rFonts w:ascii="Arial" w:eastAsia="Times New Roman" w:hAnsi="Arial" w:cs="Arial"/>
                <w:sz w:val="16"/>
                <w:szCs w:val="16"/>
              </w:rPr>
              <w:t>(787,81)</w:t>
            </w:r>
          </w:p>
        </w:tc>
      </w:tr>
      <w:tr w:rsidR="00FE0C5A" w14:paraId="72576F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0EB169" w14:textId="77777777" w:rsidR="00FE0C5A" w:rsidRDefault="000C18DB" w:rsidP="00F113BD">
            <w:pPr>
              <w:spacing w:after="0"/>
              <w:rPr>
                <w:rFonts w:eastAsia="Times New Roman"/>
              </w:rPr>
            </w:pPr>
            <w:r>
              <w:rPr>
                <w:rFonts w:ascii="Arial" w:eastAsia="Times New Roman" w:hAnsi="Arial" w:cs="Arial"/>
                <w:sz w:val="16"/>
                <w:szCs w:val="16"/>
              </w:rPr>
              <w:t>Rateio de despesa do Sicoob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9108A" w14:textId="77777777" w:rsidR="00FE0C5A" w:rsidRDefault="000C18DB" w:rsidP="00F113BD">
            <w:pPr>
              <w:spacing w:after="0"/>
              <w:jc w:val="right"/>
              <w:rPr>
                <w:rFonts w:eastAsia="Times New Roman"/>
              </w:rPr>
            </w:pPr>
            <w:r>
              <w:rPr>
                <w:rFonts w:ascii="Arial" w:eastAsia="Times New Roman" w:hAnsi="Arial" w:cs="Arial"/>
                <w:sz w:val="16"/>
                <w:szCs w:val="16"/>
              </w:rPr>
              <w:t>(68.265,96)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C60A9" w14:textId="77777777" w:rsidR="00FE0C5A" w:rsidRDefault="000C18DB" w:rsidP="00F113BD">
            <w:pPr>
              <w:spacing w:after="0"/>
              <w:jc w:val="right"/>
              <w:rPr>
                <w:rFonts w:eastAsia="Times New Roman"/>
              </w:rPr>
            </w:pPr>
            <w:r>
              <w:rPr>
                <w:rFonts w:ascii="Arial" w:eastAsia="Times New Roman" w:hAnsi="Arial" w:cs="Arial"/>
                <w:sz w:val="16"/>
                <w:szCs w:val="16"/>
              </w:rPr>
              <w:t>(124.078,36)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52E21" w14:textId="77777777" w:rsidR="00FE0C5A" w:rsidRDefault="000C18DB" w:rsidP="00F113BD">
            <w:pPr>
              <w:spacing w:after="0"/>
              <w:jc w:val="right"/>
              <w:rPr>
                <w:rFonts w:eastAsia="Times New Roman"/>
              </w:rPr>
            </w:pPr>
            <w:r>
              <w:rPr>
                <w:rFonts w:ascii="Arial" w:eastAsia="Times New Roman" w:hAnsi="Arial" w:cs="Arial"/>
                <w:sz w:val="16"/>
                <w:szCs w:val="16"/>
              </w:rPr>
              <w:t>(277.079,20)</w:t>
            </w:r>
          </w:p>
        </w:tc>
      </w:tr>
      <w:tr w:rsidR="00FE0C5A" w14:paraId="1D2956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64D2FD" w14:textId="77777777" w:rsidR="00FE0C5A" w:rsidRDefault="000C18DB" w:rsidP="00F113BD">
            <w:pPr>
              <w:spacing w:after="0"/>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EE6C9" w14:textId="77777777" w:rsidR="00FE0C5A" w:rsidRDefault="000C18DB" w:rsidP="00F113BD">
            <w:pPr>
              <w:spacing w:after="0"/>
              <w:jc w:val="right"/>
              <w:rPr>
                <w:rFonts w:eastAsia="Times New Roman"/>
              </w:rPr>
            </w:pPr>
            <w:r>
              <w:rPr>
                <w:rFonts w:ascii="Arial" w:eastAsia="Times New Roman" w:hAnsi="Arial" w:cs="Arial"/>
                <w:sz w:val="16"/>
                <w:szCs w:val="16"/>
              </w:rPr>
              <w:t>(12.567,70)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893AC" w14:textId="77777777" w:rsidR="00FE0C5A" w:rsidRDefault="000C18DB" w:rsidP="00F113BD">
            <w:pPr>
              <w:spacing w:after="0"/>
              <w:jc w:val="right"/>
              <w:rPr>
                <w:rFonts w:eastAsia="Times New Roman"/>
              </w:rPr>
            </w:pPr>
            <w:r>
              <w:rPr>
                <w:rFonts w:ascii="Arial" w:eastAsia="Times New Roman" w:hAnsi="Arial" w:cs="Arial"/>
                <w:sz w:val="16"/>
                <w:szCs w:val="16"/>
              </w:rPr>
              <w:t>(14.703,98)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601A0" w14:textId="77777777" w:rsidR="00FE0C5A" w:rsidRDefault="000C18DB" w:rsidP="00F113BD">
            <w:pPr>
              <w:spacing w:after="0"/>
              <w:jc w:val="right"/>
              <w:rPr>
                <w:rFonts w:eastAsia="Times New Roman"/>
              </w:rPr>
            </w:pPr>
            <w:r>
              <w:rPr>
                <w:rFonts w:ascii="Arial" w:eastAsia="Times New Roman" w:hAnsi="Arial" w:cs="Arial"/>
                <w:sz w:val="16"/>
                <w:szCs w:val="16"/>
              </w:rPr>
              <w:t>(13.998,88)</w:t>
            </w:r>
          </w:p>
        </w:tc>
      </w:tr>
      <w:tr w:rsidR="00FE0C5A" w14:paraId="6984D2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EE2480" w14:textId="77777777" w:rsidR="00FE0C5A" w:rsidRDefault="000C18DB" w:rsidP="00F113BD">
            <w:pPr>
              <w:spacing w:after="0"/>
              <w:rPr>
                <w:rFonts w:eastAsia="Times New Roman"/>
              </w:rPr>
            </w:pPr>
            <w:r>
              <w:rPr>
                <w:rFonts w:ascii="Arial" w:eastAsia="Times New Roman"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B288E" w14:textId="77777777" w:rsidR="00FE0C5A" w:rsidRDefault="000C18DB" w:rsidP="00F113BD">
            <w:pPr>
              <w:spacing w:after="0"/>
              <w:jc w:val="right"/>
              <w:rPr>
                <w:rFonts w:eastAsia="Times New Roman"/>
              </w:rPr>
            </w:pPr>
            <w:r>
              <w:rPr>
                <w:rFonts w:ascii="Arial" w:eastAsia="Times New Roman" w:hAnsi="Arial" w:cs="Arial"/>
                <w:sz w:val="16"/>
                <w:szCs w:val="16"/>
              </w:rPr>
              <w:t>(108.403,85)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F9232" w14:textId="77777777" w:rsidR="00FE0C5A" w:rsidRDefault="000C18DB" w:rsidP="00F113BD">
            <w:pPr>
              <w:spacing w:after="0"/>
              <w:jc w:val="right"/>
              <w:rPr>
                <w:rFonts w:eastAsia="Times New Roman"/>
              </w:rPr>
            </w:pPr>
            <w:r>
              <w:rPr>
                <w:rFonts w:ascii="Arial" w:eastAsia="Times New Roman" w:hAnsi="Arial" w:cs="Arial"/>
                <w:sz w:val="16"/>
                <w:szCs w:val="16"/>
              </w:rPr>
              <w:t>(213.307,68)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8745C" w14:textId="77777777" w:rsidR="00FE0C5A" w:rsidRDefault="000C18DB" w:rsidP="00F113BD">
            <w:pPr>
              <w:spacing w:after="0"/>
              <w:jc w:val="right"/>
              <w:rPr>
                <w:rFonts w:eastAsia="Times New Roman"/>
              </w:rPr>
            </w:pPr>
            <w:r>
              <w:rPr>
                <w:rFonts w:ascii="Arial" w:eastAsia="Times New Roman" w:hAnsi="Arial" w:cs="Arial"/>
                <w:sz w:val="16"/>
                <w:szCs w:val="16"/>
              </w:rPr>
              <w:t>(18.414,83)</w:t>
            </w:r>
          </w:p>
        </w:tc>
      </w:tr>
      <w:tr w:rsidR="00FE0C5A" w14:paraId="5D4650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8693E0" w14:textId="77777777" w:rsidR="00FE0C5A" w:rsidRDefault="000C18DB" w:rsidP="00F113BD">
            <w:pPr>
              <w:spacing w:after="0"/>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3AF4B" w14:textId="77777777" w:rsidR="00FE0C5A" w:rsidRDefault="000C18DB" w:rsidP="00F113BD">
            <w:pPr>
              <w:spacing w:after="0"/>
              <w:jc w:val="right"/>
              <w:rPr>
                <w:rFonts w:eastAsia="Times New Roman"/>
              </w:rPr>
            </w:pPr>
            <w:r>
              <w:rPr>
                <w:rFonts w:ascii="Arial" w:eastAsia="Times New Roman" w:hAnsi="Arial" w:cs="Arial"/>
                <w:sz w:val="16"/>
                <w:szCs w:val="16"/>
              </w:rPr>
              <w:t>(3.227,21)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8D5EA" w14:textId="77777777" w:rsidR="00FE0C5A" w:rsidRDefault="000C18DB" w:rsidP="00F113BD">
            <w:pPr>
              <w:spacing w:after="0"/>
              <w:jc w:val="right"/>
              <w:rPr>
                <w:rFonts w:eastAsia="Times New Roman"/>
              </w:rPr>
            </w:pPr>
            <w:r>
              <w:rPr>
                <w:rFonts w:ascii="Arial" w:eastAsia="Times New Roman" w:hAnsi="Arial" w:cs="Arial"/>
                <w:sz w:val="16"/>
                <w:szCs w:val="16"/>
              </w:rPr>
              <w:t>(3.458,87)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37402"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0BB513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7F04A5" w14:textId="77777777" w:rsidR="00FE0C5A" w:rsidRDefault="000C18DB" w:rsidP="00F113BD">
            <w:pPr>
              <w:spacing w:after="0"/>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22B86" w14:textId="77777777" w:rsidR="00FE0C5A" w:rsidRDefault="000C18DB" w:rsidP="00F113BD">
            <w:pPr>
              <w:spacing w:after="0"/>
              <w:jc w:val="right"/>
              <w:rPr>
                <w:rFonts w:eastAsia="Times New Roman"/>
              </w:rPr>
            </w:pPr>
            <w:r>
              <w:rPr>
                <w:rFonts w:ascii="Arial" w:eastAsia="Times New Roman" w:hAnsi="Arial" w:cs="Arial"/>
                <w:sz w:val="16"/>
                <w:szCs w:val="16"/>
              </w:rPr>
              <w:t>(9.191,32)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C77A4" w14:textId="77777777" w:rsidR="00FE0C5A" w:rsidRDefault="000C18DB" w:rsidP="00F113BD">
            <w:pPr>
              <w:spacing w:after="0"/>
              <w:jc w:val="right"/>
              <w:rPr>
                <w:rFonts w:eastAsia="Times New Roman"/>
              </w:rPr>
            </w:pPr>
            <w:r>
              <w:rPr>
                <w:rFonts w:ascii="Arial" w:eastAsia="Times New Roman" w:hAnsi="Arial" w:cs="Arial"/>
                <w:sz w:val="16"/>
                <w:szCs w:val="16"/>
              </w:rPr>
              <w:t>(18.523,77)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69EC1" w14:textId="77777777" w:rsidR="00FE0C5A" w:rsidRDefault="000C18DB" w:rsidP="00F113BD">
            <w:pPr>
              <w:spacing w:after="0"/>
              <w:jc w:val="right"/>
              <w:rPr>
                <w:rFonts w:eastAsia="Times New Roman"/>
              </w:rPr>
            </w:pPr>
            <w:r>
              <w:rPr>
                <w:rFonts w:ascii="Arial" w:eastAsia="Times New Roman" w:hAnsi="Arial" w:cs="Arial"/>
                <w:sz w:val="16"/>
                <w:szCs w:val="16"/>
              </w:rPr>
              <w:t>(47.329,77)</w:t>
            </w:r>
          </w:p>
        </w:tc>
      </w:tr>
      <w:tr w:rsidR="00FE0C5A" w14:paraId="406296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AF6BFE"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EB389" w14:textId="77777777" w:rsidR="00FE0C5A" w:rsidRDefault="000C18DB" w:rsidP="00F113BD">
            <w:pPr>
              <w:spacing w:after="0"/>
              <w:jc w:val="right"/>
              <w:rPr>
                <w:rFonts w:eastAsia="Times New Roman"/>
              </w:rPr>
            </w:pPr>
            <w:r>
              <w:rPr>
                <w:rFonts w:ascii="Arial" w:eastAsia="Times New Roman" w:hAnsi="Arial" w:cs="Arial"/>
                <w:b/>
                <w:bCs/>
                <w:sz w:val="16"/>
                <w:szCs w:val="16"/>
              </w:rPr>
              <w:t>(567.308,64)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A5475" w14:textId="77777777" w:rsidR="00FE0C5A" w:rsidRDefault="000C18DB" w:rsidP="00F113BD">
            <w:pPr>
              <w:spacing w:after="0"/>
              <w:jc w:val="right"/>
              <w:rPr>
                <w:rFonts w:eastAsia="Times New Roman"/>
              </w:rPr>
            </w:pPr>
            <w:r>
              <w:rPr>
                <w:rFonts w:ascii="Arial" w:eastAsia="Times New Roman" w:hAnsi="Arial" w:cs="Arial"/>
                <w:b/>
                <w:bCs/>
                <w:sz w:val="16"/>
                <w:szCs w:val="16"/>
              </w:rPr>
              <w:t>(1.110.410,69)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6BD21" w14:textId="77777777" w:rsidR="00FE0C5A" w:rsidRDefault="000C18DB" w:rsidP="00F113BD">
            <w:pPr>
              <w:spacing w:after="0"/>
              <w:jc w:val="right"/>
              <w:rPr>
                <w:rFonts w:eastAsia="Times New Roman"/>
              </w:rPr>
            </w:pPr>
            <w:r>
              <w:rPr>
                <w:rFonts w:ascii="Arial" w:eastAsia="Times New Roman" w:hAnsi="Arial" w:cs="Arial"/>
                <w:b/>
                <w:bCs/>
                <w:sz w:val="16"/>
                <w:szCs w:val="16"/>
              </w:rPr>
              <w:t>(981.500,79)</w:t>
            </w:r>
          </w:p>
        </w:tc>
      </w:tr>
    </w:tbl>
    <w:p w14:paraId="04282BCD" w14:textId="2A7481A5" w:rsidR="00FE0C5A" w:rsidRDefault="004565FC">
      <w:pPr>
        <w:pStyle w:val="NormalWeb"/>
      </w:pPr>
      <w:r>
        <w:rPr>
          <w:rFonts w:ascii="Arial" w:hAnsi="Arial" w:cs="Arial"/>
          <w:b/>
          <w:bCs/>
          <w:sz w:val="20"/>
          <w:szCs w:val="20"/>
        </w:rPr>
        <w:t>2</w:t>
      </w:r>
      <w:r w:rsidR="00663642">
        <w:rPr>
          <w:rFonts w:ascii="Arial" w:hAnsi="Arial" w:cs="Arial"/>
          <w:b/>
          <w:bCs/>
          <w:sz w:val="20"/>
          <w:szCs w:val="20"/>
        </w:rPr>
        <w:t>7</w:t>
      </w:r>
      <w:r>
        <w:rPr>
          <w:rFonts w:ascii="Arial" w:hAnsi="Arial" w:cs="Arial"/>
          <w:b/>
          <w:bCs/>
          <w:sz w:val="20"/>
          <w:szCs w:val="20"/>
        </w:rPr>
        <w:t>. Dispêndios e Despesas Tributárias</w:t>
      </w:r>
    </w:p>
    <w:tbl>
      <w:tblPr>
        <w:tblW w:w="5000" w:type="pct"/>
        <w:tblCellMar>
          <w:left w:w="0" w:type="dxa"/>
          <w:right w:w="0" w:type="dxa"/>
        </w:tblCellMar>
        <w:tblLook w:val="04A0" w:firstRow="1" w:lastRow="0" w:firstColumn="1" w:lastColumn="0" w:noHBand="0" w:noVBand="1"/>
      </w:tblPr>
      <w:tblGrid>
        <w:gridCol w:w="5179"/>
        <w:gridCol w:w="1603"/>
        <w:gridCol w:w="1603"/>
        <w:gridCol w:w="1603"/>
      </w:tblGrid>
      <w:tr w:rsidR="00FE0C5A" w14:paraId="34D10C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250F99"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415EE"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A31E4"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8B6FE"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76B63A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E62A0F" w14:textId="77777777" w:rsidR="00FE0C5A" w:rsidRDefault="000C18DB" w:rsidP="00F113BD">
            <w:pPr>
              <w:spacing w:after="0"/>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863C1" w14:textId="77777777" w:rsidR="00FE0C5A" w:rsidRDefault="000C18DB" w:rsidP="00F113BD">
            <w:pPr>
              <w:spacing w:after="0"/>
              <w:jc w:val="right"/>
              <w:rPr>
                <w:rFonts w:eastAsia="Times New Roman"/>
              </w:rPr>
            </w:pPr>
            <w:r>
              <w:rPr>
                <w:rFonts w:ascii="Arial" w:eastAsia="Times New Roman" w:hAnsi="Arial" w:cs="Arial"/>
                <w:sz w:val="16"/>
                <w:szCs w:val="16"/>
              </w:rPr>
              <w:t>(19.636,28)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7C8F2" w14:textId="77777777" w:rsidR="00FE0C5A" w:rsidRDefault="000C18DB" w:rsidP="00F113BD">
            <w:pPr>
              <w:spacing w:after="0"/>
              <w:jc w:val="right"/>
              <w:rPr>
                <w:rFonts w:eastAsia="Times New Roman"/>
              </w:rPr>
            </w:pPr>
            <w:r>
              <w:rPr>
                <w:rFonts w:ascii="Arial" w:eastAsia="Times New Roman" w:hAnsi="Arial" w:cs="Arial"/>
                <w:sz w:val="16"/>
                <w:szCs w:val="16"/>
              </w:rPr>
              <w:t>(28.837,30)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4999F" w14:textId="77777777" w:rsidR="00FE0C5A" w:rsidRDefault="000C18DB" w:rsidP="00F113BD">
            <w:pPr>
              <w:spacing w:after="0"/>
              <w:jc w:val="right"/>
              <w:rPr>
                <w:rFonts w:eastAsia="Times New Roman"/>
              </w:rPr>
            </w:pPr>
            <w:r>
              <w:rPr>
                <w:rFonts w:ascii="Arial" w:eastAsia="Times New Roman" w:hAnsi="Arial" w:cs="Arial"/>
                <w:sz w:val="16"/>
                <w:szCs w:val="16"/>
              </w:rPr>
              <w:t>(22.052,35)</w:t>
            </w:r>
          </w:p>
        </w:tc>
      </w:tr>
      <w:tr w:rsidR="00FE0C5A" w14:paraId="22EE0D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00ACCF" w14:textId="77777777" w:rsidR="00FE0C5A" w:rsidRDefault="000C18DB" w:rsidP="00F113BD">
            <w:pPr>
              <w:spacing w:after="0"/>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258F0" w14:textId="77777777" w:rsidR="00FE0C5A" w:rsidRDefault="000C18DB" w:rsidP="00F113BD">
            <w:pPr>
              <w:spacing w:after="0"/>
              <w:jc w:val="right"/>
              <w:rPr>
                <w:rFonts w:eastAsia="Times New Roman"/>
              </w:rPr>
            </w:pPr>
            <w:r>
              <w:rPr>
                <w:rFonts w:ascii="Arial" w:eastAsia="Times New Roman" w:hAnsi="Arial" w:cs="Arial"/>
                <w:sz w:val="16"/>
                <w:szCs w:val="16"/>
              </w:rPr>
              <w:t>(81.275,41)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AE3ED" w14:textId="77777777" w:rsidR="00FE0C5A" w:rsidRDefault="000C18DB" w:rsidP="00F113BD">
            <w:pPr>
              <w:spacing w:after="0"/>
              <w:jc w:val="right"/>
              <w:rPr>
                <w:rFonts w:eastAsia="Times New Roman"/>
              </w:rPr>
            </w:pPr>
            <w:r>
              <w:rPr>
                <w:rFonts w:ascii="Arial" w:eastAsia="Times New Roman" w:hAnsi="Arial" w:cs="Arial"/>
                <w:sz w:val="16"/>
                <w:szCs w:val="16"/>
              </w:rPr>
              <w:t>(151.654,67)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6D4C9" w14:textId="77777777" w:rsidR="00FE0C5A" w:rsidRDefault="000C18DB" w:rsidP="00F113BD">
            <w:pPr>
              <w:spacing w:after="0"/>
              <w:jc w:val="right"/>
              <w:rPr>
                <w:rFonts w:eastAsia="Times New Roman"/>
              </w:rPr>
            </w:pPr>
            <w:r>
              <w:rPr>
                <w:rFonts w:ascii="Arial" w:eastAsia="Times New Roman" w:hAnsi="Arial" w:cs="Arial"/>
                <w:sz w:val="16"/>
                <w:szCs w:val="16"/>
              </w:rPr>
              <w:t>(143.174,29)</w:t>
            </w:r>
          </w:p>
        </w:tc>
      </w:tr>
      <w:tr w:rsidR="00FE0C5A" w14:paraId="119753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7A1988" w14:textId="77777777" w:rsidR="00FE0C5A" w:rsidRDefault="000C18DB" w:rsidP="00F113BD">
            <w:pPr>
              <w:spacing w:after="0"/>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243E1" w14:textId="77777777" w:rsidR="00FE0C5A" w:rsidRDefault="000C18DB" w:rsidP="00F113BD">
            <w:pPr>
              <w:spacing w:after="0"/>
              <w:jc w:val="right"/>
              <w:rPr>
                <w:rFonts w:eastAsia="Times New Roman"/>
              </w:rPr>
            </w:pPr>
            <w:r>
              <w:rPr>
                <w:rFonts w:ascii="Arial" w:eastAsia="Times New Roman" w:hAnsi="Arial" w:cs="Arial"/>
                <w:sz w:val="16"/>
                <w:szCs w:val="16"/>
              </w:rPr>
              <w:t>(67.826,30)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307E5" w14:textId="77777777" w:rsidR="00FE0C5A" w:rsidRDefault="000C18DB" w:rsidP="00F113BD">
            <w:pPr>
              <w:spacing w:after="0"/>
              <w:jc w:val="right"/>
              <w:rPr>
                <w:rFonts w:eastAsia="Times New Roman"/>
              </w:rPr>
            </w:pPr>
            <w:r>
              <w:rPr>
                <w:rFonts w:ascii="Arial" w:eastAsia="Times New Roman" w:hAnsi="Arial" w:cs="Arial"/>
                <w:sz w:val="16"/>
                <w:szCs w:val="16"/>
              </w:rPr>
              <w:t>(129.462,78)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2D161" w14:textId="77777777" w:rsidR="00FE0C5A" w:rsidRDefault="000C18DB" w:rsidP="00F113BD">
            <w:pPr>
              <w:spacing w:after="0"/>
              <w:jc w:val="right"/>
              <w:rPr>
                <w:rFonts w:eastAsia="Times New Roman"/>
              </w:rPr>
            </w:pPr>
            <w:r>
              <w:rPr>
                <w:rFonts w:ascii="Arial" w:eastAsia="Times New Roman" w:hAnsi="Arial" w:cs="Arial"/>
                <w:sz w:val="16"/>
                <w:szCs w:val="16"/>
              </w:rPr>
              <w:t>(126.829,63)</w:t>
            </w:r>
          </w:p>
        </w:tc>
      </w:tr>
      <w:tr w:rsidR="00FE0C5A" w14:paraId="26B491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665B3F" w14:textId="77777777" w:rsidR="00FE0C5A" w:rsidRDefault="000C18DB" w:rsidP="00F113BD">
            <w:pPr>
              <w:spacing w:after="0"/>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763C3" w14:textId="77777777" w:rsidR="00FE0C5A" w:rsidRDefault="000C18DB" w:rsidP="00F113BD">
            <w:pPr>
              <w:spacing w:after="0"/>
              <w:jc w:val="right"/>
              <w:rPr>
                <w:rFonts w:eastAsia="Times New Roman"/>
              </w:rPr>
            </w:pPr>
            <w:r>
              <w:rPr>
                <w:rFonts w:ascii="Arial" w:eastAsia="Times New Roman" w:hAnsi="Arial" w:cs="Arial"/>
                <w:sz w:val="16"/>
                <w:szCs w:val="16"/>
              </w:rPr>
              <w:t>(11.021,78)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B34FC" w14:textId="77777777" w:rsidR="00FE0C5A" w:rsidRDefault="000C18DB" w:rsidP="00F113BD">
            <w:pPr>
              <w:spacing w:after="0"/>
              <w:jc w:val="right"/>
              <w:rPr>
                <w:rFonts w:eastAsia="Times New Roman"/>
              </w:rPr>
            </w:pPr>
            <w:r>
              <w:rPr>
                <w:rFonts w:ascii="Arial" w:eastAsia="Times New Roman" w:hAnsi="Arial" w:cs="Arial"/>
                <w:sz w:val="16"/>
                <w:szCs w:val="16"/>
              </w:rPr>
              <w:t>(21.037,86)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C9F34" w14:textId="77777777" w:rsidR="00FE0C5A" w:rsidRDefault="000C18DB" w:rsidP="00F113BD">
            <w:pPr>
              <w:spacing w:after="0"/>
              <w:jc w:val="right"/>
              <w:rPr>
                <w:rFonts w:eastAsia="Times New Roman"/>
              </w:rPr>
            </w:pPr>
            <w:r>
              <w:rPr>
                <w:rFonts w:ascii="Arial" w:eastAsia="Times New Roman" w:hAnsi="Arial" w:cs="Arial"/>
                <w:sz w:val="16"/>
                <w:szCs w:val="16"/>
              </w:rPr>
              <w:t>(20.609,82)</w:t>
            </w:r>
          </w:p>
        </w:tc>
      </w:tr>
      <w:tr w:rsidR="00FE0C5A" w14:paraId="6C1AAC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31DB16" w14:textId="77777777" w:rsidR="00FE0C5A" w:rsidRDefault="000C18DB" w:rsidP="004565FC">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ECB3D" w14:textId="77777777" w:rsidR="00FE0C5A" w:rsidRDefault="000C18DB" w:rsidP="00F113BD">
            <w:pPr>
              <w:spacing w:after="0"/>
              <w:jc w:val="right"/>
              <w:rPr>
                <w:rFonts w:eastAsia="Times New Roman"/>
              </w:rPr>
            </w:pPr>
            <w:r>
              <w:rPr>
                <w:rFonts w:ascii="Arial" w:eastAsia="Times New Roman" w:hAnsi="Arial" w:cs="Arial"/>
                <w:b/>
                <w:bCs/>
                <w:sz w:val="16"/>
                <w:szCs w:val="16"/>
              </w:rPr>
              <w:t>(179.759,77)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79A88" w14:textId="77777777" w:rsidR="00FE0C5A" w:rsidRDefault="000C18DB" w:rsidP="00F113BD">
            <w:pPr>
              <w:spacing w:after="0"/>
              <w:jc w:val="right"/>
              <w:rPr>
                <w:rFonts w:eastAsia="Times New Roman"/>
              </w:rPr>
            </w:pPr>
            <w:r>
              <w:rPr>
                <w:rFonts w:ascii="Arial" w:eastAsia="Times New Roman" w:hAnsi="Arial" w:cs="Arial"/>
                <w:b/>
                <w:bCs/>
                <w:sz w:val="16"/>
                <w:szCs w:val="16"/>
              </w:rPr>
              <w:t>(330.992,61)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03629" w14:textId="77777777" w:rsidR="00FE0C5A" w:rsidRDefault="000C18DB" w:rsidP="00F113BD">
            <w:pPr>
              <w:spacing w:after="0"/>
              <w:jc w:val="right"/>
              <w:rPr>
                <w:rFonts w:eastAsia="Times New Roman"/>
              </w:rPr>
            </w:pPr>
            <w:r>
              <w:rPr>
                <w:rFonts w:ascii="Arial" w:eastAsia="Times New Roman" w:hAnsi="Arial" w:cs="Arial"/>
                <w:b/>
                <w:bCs/>
                <w:sz w:val="16"/>
                <w:szCs w:val="16"/>
              </w:rPr>
              <w:t>(312.666,09)</w:t>
            </w:r>
          </w:p>
        </w:tc>
      </w:tr>
    </w:tbl>
    <w:p w14:paraId="11ED51B1" w14:textId="20543D1E" w:rsidR="00FE0C5A" w:rsidRDefault="004565FC">
      <w:pPr>
        <w:pStyle w:val="NormalWeb"/>
      </w:pPr>
      <w:r>
        <w:rPr>
          <w:rFonts w:ascii="Arial" w:hAnsi="Arial" w:cs="Arial"/>
          <w:b/>
          <w:bCs/>
          <w:sz w:val="20"/>
          <w:szCs w:val="20"/>
        </w:rPr>
        <w:t>2</w:t>
      </w:r>
      <w:r w:rsidR="00663642">
        <w:rPr>
          <w:rFonts w:ascii="Arial" w:hAnsi="Arial" w:cs="Arial"/>
          <w:b/>
          <w:bCs/>
          <w:sz w:val="20"/>
          <w:szCs w:val="20"/>
        </w:rPr>
        <w:t>8</w:t>
      </w:r>
      <w:r>
        <w:rPr>
          <w:rFonts w:ascii="Arial" w:hAnsi="Arial" w:cs="Arial"/>
          <w:b/>
          <w:bCs/>
          <w:sz w:val="20"/>
          <w:szCs w:val="20"/>
        </w:rPr>
        <w:t>. Outros Ingressos e Receitas Operacionais</w:t>
      </w:r>
    </w:p>
    <w:tbl>
      <w:tblPr>
        <w:tblW w:w="5000" w:type="pct"/>
        <w:tblCellMar>
          <w:left w:w="0" w:type="dxa"/>
          <w:right w:w="0" w:type="dxa"/>
        </w:tblCellMar>
        <w:tblLook w:val="04A0" w:firstRow="1" w:lastRow="0" w:firstColumn="1" w:lastColumn="0" w:noHBand="0" w:noVBand="1"/>
      </w:tblPr>
      <w:tblGrid>
        <w:gridCol w:w="5686"/>
        <w:gridCol w:w="1434"/>
        <w:gridCol w:w="1434"/>
        <w:gridCol w:w="1434"/>
      </w:tblGrid>
      <w:tr w:rsidR="00FE0C5A" w14:paraId="28B49B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639F35"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F9F08"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4A32A"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45102"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50E2F2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BA55CC" w14:textId="77777777" w:rsidR="00FE0C5A" w:rsidRDefault="000C18DB" w:rsidP="00F113BD">
            <w:pPr>
              <w:spacing w:after="0"/>
              <w:rPr>
                <w:rFonts w:eastAsia="Times New Roman"/>
              </w:rPr>
            </w:pPr>
            <w:r>
              <w:rPr>
                <w:rFonts w:ascii="Arial" w:eastAsia="Times New Roman" w:hAnsi="Arial" w:cs="Arial"/>
                <w:sz w:val="16"/>
                <w:szCs w:val="16"/>
              </w:rPr>
              <w:t xml:space="preserve">Recuperação de Encargos e </w:t>
            </w:r>
            <w:r>
              <w:rPr>
                <w:rFonts w:ascii="Arial" w:eastAsia="Times New Roman" w:hAnsi="Arial" w:cs="Arial"/>
                <w:sz w:val="16"/>
                <w:szCs w:val="16"/>
              </w:rPr>
              <w:t>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A405D" w14:textId="77777777" w:rsidR="00FE0C5A" w:rsidRDefault="000C18DB" w:rsidP="00F113BD">
            <w:pPr>
              <w:spacing w:after="0"/>
              <w:jc w:val="right"/>
              <w:rPr>
                <w:rFonts w:eastAsia="Times New Roman"/>
              </w:rPr>
            </w:pPr>
            <w:r>
              <w:rPr>
                <w:rFonts w:ascii="Arial" w:eastAsia="Times New Roman" w:hAnsi="Arial" w:cs="Arial"/>
                <w:sz w:val="16"/>
                <w:szCs w:val="16"/>
              </w:rPr>
              <w:t>50.632,08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3EDAE" w14:textId="77777777" w:rsidR="00FE0C5A" w:rsidRDefault="000C18DB" w:rsidP="00F113BD">
            <w:pPr>
              <w:spacing w:after="0"/>
              <w:jc w:val="right"/>
              <w:rPr>
                <w:rFonts w:eastAsia="Times New Roman"/>
              </w:rPr>
            </w:pPr>
            <w:r>
              <w:rPr>
                <w:rFonts w:ascii="Arial" w:eastAsia="Times New Roman" w:hAnsi="Arial" w:cs="Arial"/>
                <w:sz w:val="16"/>
                <w:szCs w:val="16"/>
              </w:rPr>
              <w:t>151.257,11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1E109" w14:textId="77777777" w:rsidR="00FE0C5A" w:rsidRDefault="000C18DB" w:rsidP="00F113BD">
            <w:pPr>
              <w:spacing w:after="0"/>
              <w:jc w:val="right"/>
              <w:rPr>
                <w:rFonts w:eastAsia="Times New Roman"/>
              </w:rPr>
            </w:pPr>
            <w:r>
              <w:rPr>
                <w:rFonts w:ascii="Arial" w:eastAsia="Times New Roman" w:hAnsi="Arial" w:cs="Arial"/>
                <w:sz w:val="16"/>
                <w:szCs w:val="16"/>
              </w:rPr>
              <w:t>167.600,08</w:t>
            </w:r>
          </w:p>
        </w:tc>
      </w:tr>
      <w:tr w:rsidR="00FE0C5A" w14:paraId="5D48A9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75A719" w14:textId="77777777" w:rsidR="00FE0C5A" w:rsidRDefault="000C18DB" w:rsidP="00F113BD">
            <w:pPr>
              <w:spacing w:after="0"/>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835FD" w14:textId="77777777" w:rsidR="00FE0C5A" w:rsidRDefault="000C18DB" w:rsidP="00F113BD">
            <w:pPr>
              <w:spacing w:after="0"/>
              <w:jc w:val="right"/>
              <w:rPr>
                <w:rFonts w:eastAsia="Times New Roman"/>
              </w:rPr>
            </w:pPr>
            <w:r>
              <w:rPr>
                <w:rFonts w:ascii="Arial" w:eastAsia="Times New Roman" w:hAnsi="Arial" w:cs="Arial"/>
                <w:sz w:val="16"/>
                <w:szCs w:val="16"/>
              </w:rPr>
              <w:t>5.182,00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BDE77" w14:textId="77777777" w:rsidR="00FE0C5A" w:rsidRDefault="000C18DB" w:rsidP="00F113BD">
            <w:pPr>
              <w:spacing w:after="0"/>
              <w:jc w:val="right"/>
              <w:rPr>
                <w:rFonts w:eastAsia="Times New Roman"/>
              </w:rPr>
            </w:pPr>
            <w:r>
              <w:rPr>
                <w:rFonts w:ascii="Arial" w:eastAsia="Times New Roman" w:hAnsi="Arial" w:cs="Arial"/>
                <w:sz w:val="16"/>
                <w:szCs w:val="16"/>
              </w:rPr>
              <w:t>6.762,22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22D81"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79A9A5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9B3BBD" w14:textId="77777777" w:rsidR="00FE0C5A" w:rsidRDefault="000C18DB" w:rsidP="00F113BD">
            <w:pPr>
              <w:spacing w:after="0"/>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F89E5"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9CD90" w14:textId="77777777" w:rsidR="00FE0C5A" w:rsidRDefault="000C18DB" w:rsidP="00F113BD">
            <w:pPr>
              <w:spacing w:after="0"/>
              <w:jc w:val="right"/>
              <w:rPr>
                <w:rFonts w:eastAsia="Times New Roman"/>
              </w:rPr>
            </w:pPr>
            <w:r>
              <w:rPr>
                <w:rFonts w:ascii="Arial" w:eastAsia="Times New Roman" w:hAnsi="Arial" w:cs="Arial"/>
                <w:sz w:val="16"/>
                <w:szCs w:val="16"/>
              </w:rPr>
              <w:t>18.041,68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FF011" w14:textId="77777777" w:rsidR="00FE0C5A" w:rsidRDefault="000C18DB" w:rsidP="00F113BD">
            <w:pPr>
              <w:spacing w:after="0"/>
              <w:jc w:val="right"/>
              <w:rPr>
                <w:rFonts w:eastAsia="Times New Roman"/>
              </w:rPr>
            </w:pPr>
            <w:r>
              <w:rPr>
                <w:rFonts w:ascii="Arial" w:eastAsia="Times New Roman" w:hAnsi="Arial" w:cs="Arial"/>
                <w:sz w:val="16"/>
                <w:szCs w:val="16"/>
              </w:rPr>
              <w:t>10.484,53</w:t>
            </w:r>
          </w:p>
        </w:tc>
      </w:tr>
      <w:tr w:rsidR="00FE0C5A" w14:paraId="4C342D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42CE39" w14:textId="77777777" w:rsidR="00FE0C5A" w:rsidRDefault="000C18DB" w:rsidP="00F113BD">
            <w:pPr>
              <w:spacing w:after="0"/>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E536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333AC" w14:textId="77777777" w:rsidR="00FE0C5A" w:rsidRDefault="000C18DB" w:rsidP="00F113BD">
            <w:pPr>
              <w:spacing w:after="0"/>
              <w:jc w:val="right"/>
              <w:rPr>
                <w:rFonts w:eastAsia="Times New Roman"/>
              </w:rPr>
            </w:pPr>
            <w:r>
              <w:rPr>
                <w:rFonts w:ascii="Arial" w:eastAsia="Times New Roman" w:hAnsi="Arial" w:cs="Arial"/>
                <w:sz w:val="16"/>
                <w:szCs w:val="16"/>
              </w:rPr>
              <w:t>220.901,00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2145F" w14:textId="77777777" w:rsidR="00FE0C5A" w:rsidRDefault="000C18DB" w:rsidP="00F113BD">
            <w:pPr>
              <w:spacing w:after="0"/>
              <w:jc w:val="right"/>
              <w:rPr>
                <w:rFonts w:eastAsia="Times New Roman"/>
              </w:rPr>
            </w:pPr>
            <w:r>
              <w:rPr>
                <w:rFonts w:ascii="Arial" w:eastAsia="Times New Roman" w:hAnsi="Arial" w:cs="Arial"/>
                <w:sz w:val="16"/>
                <w:szCs w:val="16"/>
              </w:rPr>
              <w:t>252.500,20</w:t>
            </w:r>
          </w:p>
        </w:tc>
      </w:tr>
      <w:tr w:rsidR="00FE0C5A" w14:paraId="007968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C40DB5" w14:textId="77777777" w:rsidR="00FE0C5A" w:rsidRDefault="000C18DB" w:rsidP="00F113BD">
            <w:pPr>
              <w:spacing w:after="0"/>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E94EB" w14:textId="77777777" w:rsidR="00FE0C5A" w:rsidRDefault="000C18DB" w:rsidP="00F113BD">
            <w:pPr>
              <w:spacing w:after="0"/>
              <w:jc w:val="right"/>
              <w:rPr>
                <w:rFonts w:eastAsia="Times New Roman"/>
              </w:rPr>
            </w:pPr>
            <w:r>
              <w:rPr>
                <w:rFonts w:ascii="Arial" w:eastAsia="Times New Roman" w:hAnsi="Arial" w:cs="Arial"/>
                <w:sz w:val="16"/>
                <w:szCs w:val="16"/>
              </w:rPr>
              <w:t>133.956,94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3F61B" w14:textId="77777777" w:rsidR="00FE0C5A" w:rsidRDefault="000C18DB" w:rsidP="00F113BD">
            <w:pPr>
              <w:spacing w:after="0"/>
              <w:jc w:val="right"/>
              <w:rPr>
                <w:rFonts w:eastAsia="Times New Roman"/>
              </w:rPr>
            </w:pPr>
            <w:r>
              <w:rPr>
                <w:rFonts w:ascii="Arial" w:eastAsia="Times New Roman" w:hAnsi="Arial" w:cs="Arial"/>
                <w:sz w:val="16"/>
                <w:szCs w:val="16"/>
              </w:rPr>
              <w:t>263.500,89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53184" w14:textId="77777777" w:rsidR="00FE0C5A" w:rsidRDefault="000C18DB" w:rsidP="00F113BD">
            <w:pPr>
              <w:spacing w:after="0"/>
              <w:jc w:val="right"/>
              <w:rPr>
                <w:rFonts w:eastAsia="Times New Roman"/>
              </w:rPr>
            </w:pPr>
            <w:r>
              <w:rPr>
                <w:rFonts w:ascii="Arial" w:eastAsia="Times New Roman" w:hAnsi="Arial" w:cs="Arial"/>
                <w:sz w:val="16"/>
                <w:szCs w:val="16"/>
              </w:rPr>
              <w:t>86.724,87</w:t>
            </w:r>
          </w:p>
        </w:tc>
      </w:tr>
      <w:tr w:rsidR="00FE0C5A" w14:paraId="21733E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A21EAB" w14:textId="77777777" w:rsidR="00FE0C5A" w:rsidRDefault="000C18DB" w:rsidP="00F113BD">
            <w:pPr>
              <w:spacing w:after="0"/>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F6CC7" w14:textId="77777777" w:rsidR="00FE0C5A" w:rsidRDefault="000C18DB" w:rsidP="00F113BD">
            <w:pPr>
              <w:spacing w:after="0"/>
              <w:jc w:val="right"/>
              <w:rPr>
                <w:rFonts w:eastAsia="Times New Roman"/>
              </w:rPr>
            </w:pPr>
            <w:r>
              <w:rPr>
                <w:rFonts w:ascii="Arial" w:eastAsia="Times New Roman" w:hAnsi="Arial" w:cs="Arial"/>
                <w:sz w:val="16"/>
                <w:szCs w:val="16"/>
              </w:rPr>
              <w:t>351.540,95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CC763" w14:textId="77777777" w:rsidR="00FE0C5A" w:rsidRDefault="000C18DB" w:rsidP="00F113BD">
            <w:pPr>
              <w:spacing w:after="0"/>
              <w:jc w:val="right"/>
              <w:rPr>
                <w:rFonts w:eastAsia="Times New Roman"/>
              </w:rPr>
            </w:pPr>
            <w:r>
              <w:rPr>
                <w:rFonts w:ascii="Arial" w:eastAsia="Times New Roman" w:hAnsi="Arial" w:cs="Arial"/>
                <w:sz w:val="16"/>
                <w:szCs w:val="16"/>
              </w:rPr>
              <w:t>369.927,01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A0A8A" w14:textId="77777777" w:rsidR="00FE0C5A" w:rsidRDefault="000C18DB" w:rsidP="00F113BD">
            <w:pPr>
              <w:spacing w:after="0"/>
              <w:jc w:val="right"/>
              <w:rPr>
                <w:rFonts w:eastAsia="Times New Roman"/>
              </w:rPr>
            </w:pPr>
            <w:r>
              <w:rPr>
                <w:rFonts w:ascii="Arial" w:eastAsia="Times New Roman" w:hAnsi="Arial" w:cs="Arial"/>
                <w:sz w:val="16"/>
                <w:szCs w:val="16"/>
              </w:rPr>
              <w:t>35.439,45</w:t>
            </w:r>
          </w:p>
        </w:tc>
      </w:tr>
      <w:tr w:rsidR="00FE0C5A" w14:paraId="14B1C3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2BE3F3" w14:textId="77777777" w:rsidR="00FE0C5A" w:rsidRDefault="000C18DB" w:rsidP="00F113BD">
            <w:pPr>
              <w:spacing w:after="0"/>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4D8A3" w14:textId="77777777" w:rsidR="00FE0C5A" w:rsidRDefault="000C18DB" w:rsidP="00F113BD">
            <w:pPr>
              <w:spacing w:after="0"/>
              <w:jc w:val="right"/>
              <w:rPr>
                <w:rFonts w:eastAsia="Times New Roman"/>
              </w:rPr>
            </w:pPr>
            <w:r>
              <w:rPr>
                <w:rFonts w:ascii="Arial" w:eastAsia="Times New Roman" w:hAnsi="Arial" w:cs="Arial"/>
                <w:sz w:val="16"/>
                <w:szCs w:val="16"/>
              </w:rPr>
              <w:t>54.802,44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7CC9E" w14:textId="77777777" w:rsidR="00FE0C5A" w:rsidRDefault="000C18DB" w:rsidP="00F113BD">
            <w:pPr>
              <w:spacing w:after="0"/>
              <w:jc w:val="right"/>
              <w:rPr>
                <w:rFonts w:eastAsia="Times New Roman"/>
              </w:rPr>
            </w:pPr>
            <w:r>
              <w:rPr>
                <w:rFonts w:ascii="Arial" w:eastAsia="Times New Roman" w:hAnsi="Arial" w:cs="Arial"/>
                <w:sz w:val="16"/>
                <w:szCs w:val="16"/>
              </w:rPr>
              <w:t>81.275,43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19659" w14:textId="77777777" w:rsidR="00FE0C5A" w:rsidRDefault="000C18DB" w:rsidP="00F113BD">
            <w:pPr>
              <w:spacing w:after="0"/>
              <w:jc w:val="right"/>
              <w:rPr>
                <w:rFonts w:eastAsia="Times New Roman"/>
              </w:rPr>
            </w:pPr>
            <w:r>
              <w:rPr>
                <w:rFonts w:ascii="Arial" w:eastAsia="Times New Roman" w:hAnsi="Arial" w:cs="Arial"/>
                <w:sz w:val="16"/>
                <w:szCs w:val="16"/>
              </w:rPr>
              <w:t>14.752,84</w:t>
            </w:r>
          </w:p>
        </w:tc>
      </w:tr>
      <w:tr w:rsidR="00FE0C5A" w14:paraId="7A8FE6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959B94" w14:textId="77777777" w:rsidR="00FE0C5A" w:rsidRDefault="000C18DB" w:rsidP="00F113BD">
            <w:pPr>
              <w:spacing w:after="0"/>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E30EB" w14:textId="77777777" w:rsidR="00FE0C5A" w:rsidRDefault="000C18DB" w:rsidP="00F113BD">
            <w:pPr>
              <w:spacing w:after="0"/>
              <w:jc w:val="right"/>
              <w:rPr>
                <w:rFonts w:eastAsia="Times New Roman"/>
              </w:rPr>
            </w:pPr>
            <w:r>
              <w:rPr>
                <w:rFonts w:ascii="Arial" w:eastAsia="Times New Roman" w:hAnsi="Arial" w:cs="Arial"/>
                <w:sz w:val="16"/>
                <w:szCs w:val="16"/>
              </w:rPr>
              <w:t>705.952,95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76B09" w14:textId="77777777" w:rsidR="00FE0C5A" w:rsidRDefault="000C18DB" w:rsidP="00F113BD">
            <w:pPr>
              <w:spacing w:after="0"/>
              <w:jc w:val="right"/>
              <w:rPr>
                <w:rFonts w:eastAsia="Times New Roman"/>
              </w:rPr>
            </w:pPr>
            <w:r>
              <w:rPr>
                <w:rFonts w:ascii="Arial" w:eastAsia="Times New Roman" w:hAnsi="Arial" w:cs="Arial"/>
                <w:sz w:val="16"/>
                <w:szCs w:val="16"/>
              </w:rPr>
              <w:t>1.398.840,20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20393" w14:textId="77777777" w:rsidR="00FE0C5A" w:rsidRDefault="000C18DB" w:rsidP="00F113BD">
            <w:pPr>
              <w:spacing w:after="0"/>
              <w:jc w:val="right"/>
              <w:rPr>
                <w:rFonts w:eastAsia="Times New Roman"/>
              </w:rPr>
            </w:pPr>
            <w:r>
              <w:rPr>
                <w:rFonts w:ascii="Arial" w:eastAsia="Times New Roman" w:hAnsi="Arial" w:cs="Arial"/>
                <w:sz w:val="16"/>
                <w:szCs w:val="16"/>
              </w:rPr>
              <w:t>910.763,56</w:t>
            </w:r>
          </w:p>
        </w:tc>
      </w:tr>
      <w:tr w:rsidR="00FE0C5A" w14:paraId="2462A9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9B3211" w14:textId="77777777" w:rsidR="00FE0C5A" w:rsidRDefault="000C18DB" w:rsidP="00F113BD">
            <w:pPr>
              <w:spacing w:after="0"/>
              <w:rPr>
                <w:rFonts w:eastAsia="Times New Roman"/>
              </w:rPr>
            </w:pPr>
            <w:r>
              <w:rPr>
                <w:rFonts w:ascii="Arial" w:eastAsia="Times New Roman" w:hAnsi="Arial" w:cs="Arial"/>
                <w:sz w:val="16"/>
                <w:szCs w:val="16"/>
              </w:rPr>
              <w:t xml:space="preserve">Juros ao </w:t>
            </w:r>
            <w:r>
              <w:rPr>
                <w:rFonts w:ascii="Arial" w:eastAsia="Times New Roman" w:hAnsi="Arial" w:cs="Arial"/>
                <w:sz w:val="16"/>
                <w:szCs w:val="16"/>
              </w:rPr>
              <w:t>Capital Recebidos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CAEE3" w14:textId="77777777" w:rsidR="00FE0C5A" w:rsidRDefault="000C18DB" w:rsidP="00F113BD">
            <w:pPr>
              <w:spacing w:after="0"/>
              <w:jc w:val="right"/>
              <w:rPr>
                <w:rFonts w:eastAsia="Times New Roman"/>
              </w:rPr>
            </w:pPr>
            <w:r>
              <w:rPr>
                <w:rFonts w:ascii="Arial" w:eastAsia="Times New Roman" w:hAnsi="Arial" w:cs="Arial"/>
                <w:sz w:val="16"/>
                <w:szCs w:val="16"/>
              </w:rPr>
              <w:t>1.095.525,90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E05EB" w14:textId="77777777" w:rsidR="00FE0C5A" w:rsidRDefault="000C18DB" w:rsidP="00F113BD">
            <w:pPr>
              <w:spacing w:after="0"/>
              <w:jc w:val="right"/>
              <w:rPr>
                <w:rFonts w:eastAsia="Times New Roman"/>
              </w:rPr>
            </w:pPr>
            <w:r>
              <w:rPr>
                <w:rFonts w:ascii="Arial" w:eastAsia="Times New Roman" w:hAnsi="Arial" w:cs="Arial"/>
                <w:sz w:val="16"/>
                <w:szCs w:val="16"/>
              </w:rPr>
              <w:t>1.095.525,90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5DED8" w14:textId="77777777" w:rsidR="00FE0C5A" w:rsidRDefault="000C18DB" w:rsidP="00F113BD">
            <w:pPr>
              <w:spacing w:after="0"/>
              <w:jc w:val="right"/>
              <w:rPr>
                <w:rFonts w:eastAsia="Times New Roman"/>
              </w:rPr>
            </w:pPr>
            <w:r>
              <w:rPr>
                <w:rFonts w:ascii="Arial" w:eastAsia="Times New Roman" w:hAnsi="Arial" w:cs="Arial"/>
                <w:sz w:val="16"/>
                <w:szCs w:val="16"/>
              </w:rPr>
              <w:t>785.241,79</w:t>
            </w:r>
          </w:p>
        </w:tc>
      </w:tr>
      <w:tr w:rsidR="00FE0C5A" w14:paraId="738382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FE6A30"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CBD87" w14:textId="77777777" w:rsidR="00FE0C5A" w:rsidRDefault="000C18DB" w:rsidP="00F113BD">
            <w:pPr>
              <w:spacing w:after="0"/>
              <w:jc w:val="right"/>
              <w:rPr>
                <w:rFonts w:eastAsia="Times New Roman"/>
              </w:rPr>
            </w:pPr>
            <w:r>
              <w:rPr>
                <w:rFonts w:ascii="Arial" w:eastAsia="Times New Roman" w:hAnsi="Arial" w:cs="Arial"/>
                <w:b/>
                <w:bCs/>
                <w:sz w:val="16"/>
                <w:szCs w:val="16"/>
              </w:rPr>
              <w:t>2.397.593,26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FDB42" w14:textId="77777777" w:rsidR="00FE0C5A" w:rsidRDefault="000C18DB" w:rsidP="00F113BD">
            <w:pPr>
              <w:spacing w:after="0"/>
              <w:jc w:val="right"/>
              <w:rPr>
                <w:rFonts w:eastAsia="Times New Roman"/>
              </w:rPr>
            </w:pPr>
            <w:r>
              <w:rPr>
                <w:rFonts w:ascii="Arial" w:eastAsia="Times New Roman" w:hAnsi="Arial" w:cs="Arial"/>
                <w:b/>
                <w:bCs/>
                <w:sz w:val="16"/>
                <w:szCs w:val="16"/>
              </w:rPr>
              <w:t>3.606.031,44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B2628" w14:textId="77777777" w:rsidR="00FE0C5A" w:rsidRDefault="000C18DB" w:rsidP="00F113BD">
            <w:pPr>
              <w:spacing w:after="0"/>
              <w:jc w:val="right"/>
              <w:rPr>
                <w:rFonts w:eastAsia="Times New Roman"/>
              </w:rPr>
            </w:pPr>
            <w:r>
              <w:rPr>
                <w:rFonts w:ascii="Arial" w:eastAsia="Times New Roman" w:hAnsi="Arial" w:cs="Arial"/>
                <w:b/>
                <w:bCs/>
                <w:sz w:val="16"/>
                <w:szCs w:val="16"/>
              </w:rPr>
              <w:t>2.263.507,32</w:t>
            </w:r>
          </w:p>
        </w:tc>
      </w:tr>
    </w:tbl>
    <w:p w14:paraId="039A5B22" w14:textId="190968F7" w:rsidR="00FE0C5A" w:rsidRDefault="004565FC">
      <w:pPr>
        <w:pStyle w:val="NormalWeb"/>
      </w:pPr>
      <w:r>
        <w:rPr>
          <w:rFonts w:ascii="Arial" w:hAnsi="Arial" w:cs="Arial"/>
          <w:b/>
          <w:bCs/>
          <w:sz w:val="20"/>
          <w:szCs w:val="20"/>
        </w:rPr>
        <w:t>2</w:t>
      </w:r>
      <w:r w:rsidR="00663642">
        <w:rPr>
          <w:rFonts w:ascii="Arial" w:hAnsi="Arial" w:cs="Arial"/>
          <w:b/>
          <w:bCs/>
          <w:sz w:val="20"/>
          <w:szCs w:val="20"/>
        </w:rPr>
        <w:t>9</w:t>
      </w:r>
      <w:r>
        <w:rPr>
          <w:rFonts w:ascii="Arial" w:hAnsi="Arial" w:cs="Arial"/>
          <w:b/>
          <w:bCs/>
          <w:sz w:val="20"/>
          <w:szCs w:val="20"/>
        </w:rPr>
        <w:t>. Outros Dispêndios e Despesas Operacionais</w:t>
      </w:r>
    </w:p>
    <w:tbl>
      <w:tblPr>
        <w:tblW w:w="5000" w:type="pct"/>
        <w:tblCellMar>
          <w:left w:w="0" w:type="dxa"/>
          <w:right w:w="0" w:type="dxa"/>
        </w:tblCellMar>
        <w:tblLook w:val="04A0" w:firstRow="1" w:lastRow="0" w:firstColumn="1" w:lastColumn="0" w:noHBand="0" w:noVBand="1"/>
      </w:tblPr>
      <w:tblGrid>
        <w:gridCol w:w="6445"/>
        <w:gridCol w:w="1181"/>
        <w:gridCol w:w="1181"/>
        <w:gridCol w:w="1181"/>
      </w:tblGrid>
      <w:tr w:rsidR="00FE0C5A" w14:paraId="1A867F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A6E1CB"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11CA9"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55929"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A4499"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597A56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C68992" w14:textId="77777777" w:rsidR="00FE0C5A" w:rsidRDefault="000C18DB" w:rsidP="00F113BD">
            <w:pPr>
              <w:spacing w:after="0"/>
              <w:rPr>
                <w:rFonts w:eastAsia="Times New Roman"/>
              </w:rPr>
            </w:pPr>
            <w:r>
              <w:rPr>
                <w:rFonts w:ascii="Arial" w:eastAsia="Times New Roman" w:hAnsi="Arial" w:cs="Arial"/>
                <w:sz w:val="16"/>
                <w:szCs w:val="16"/>
              </w:rPr>
              <w:t xml:space="preserve">Operações de Crédito - Despesas de Descontos </w:t>
            </w:r>
            <w:r>
              <w:rPr>
                <w:rFonts w:ascii="Arial" w:eastAsia="Times New Roman" w:hAnsi="Arial" w:cs="Arial"/>
                <w:sz w:val="16"/>
                <w:szCs w:val="16"/>
              </w:rPr>
              <w:t>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87550" w14:textId="77777777" w:rsidR="00FE0C5A" w:rsidRDefault="000C18DB" w:rsidP="00F113BD">
            <w:pPr>
              <w:spacing w:after="0"/>
              <w:jc w:val="right"/>
              <w:rPr>
                <w:rFonts w:eastAsia="Times New Roman"/>
              </w:rPr>
            </w:pPr>
            <w:r>
              <w:rPr>
                <w:rFonts w:ascii="Arial" w:eastAsia="Times New Roman" w:hAnsi="Arial" w:cs="Arial"/>
                <w:sz w:val="16"/>
                <w:szCs w:val="16"/>
              </w:rPr>
              <w:t>(812,65)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95EA5" w14:textId="77777777" w:rsidR="00FE0C5A" w:rsidRDefault="000C18DB" w:rsidP="00F113BD">
            <w:pPr>
              <w:spacing w:after="0"/>
              <w:jc w:val="right"/>
              <w:rPr>
                <w:rFonts w:eastAsia="Times New Roman"/>
              </w:rPr>
            </w:pPr>
            <w:r>
              <w:rPr>
                <w:rFonts w:ascii="Arial" w:eastAsia="Times New Roman" w:hAnsi="Arial" w:cs="Arial"/>
                <w:sz w:val="16"/>
                <w:szCs w:val="16"/>
              </w:rPr>
              <w:t>(16.038,21)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0BEF3" w14:textId="77777777" w:rsidR="00FE0C5A" w:rsidRDefault="000C18DB" w:rsidP="00F113BD">
            <w:pPr>
              <w:spacing w:after="0"/>
              <w:jc w:val="right"/>
              <w:rPr>
                <w:rFonts w:eastAsia="Times New Roman"/>
              </w:rPr>
            </w:pPr>
            <w:r>
              <w:rPr>
                <w:rFonts w:ascii="Arial" w:eastAsia="Times New Roman" w:hAnsi="Arial" w:cs="Arial"/>
                <w:sz w:val="16"/>
                <w:szCs w:val="16"/>
              </w:rPr>
              <w:t>(17.781,93)</w:t>
            </w:r>
          </w:p>
        </w:tc>
      </w:tr>
      <w:tr w:rsidR="00FE0C5A" w14:paraId="68884E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519D70" w14:textId="77777777" w:rsidR="00FE0C5A" w:rsidRDefault="000C18DB" w:rsidP="00F113BD">
            <w:pPr>
              <w:spacing w:after="0"/>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19A5E" w14:textId="77777777" w:rsidR="00FE0C5A" w:rsidRDefault="000C18DB" w:rsidP="00F113BD">
            <w:pPr>
              <w:spacing w:after="0"/>
              <w:jc w:val="right"/>
              <w:rPr>
                <w:rFonts w:eastAsia="Times New Roman"/>
              </w:rPr>
            </w:pPr>
            <w:r>
              <w:rPr>
                <w:rFonts w:ascii="Arial" w:eastAsia="Times New Roman" w:hAnsi="Arial" w:cs="Arial"/>
                <w:sz w:val="16"/>
                <w:szCs w:val="16"/>
              </w:rPr>
              <w:t>(163.508,39)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BE955" w14:textId="77777777" w:rsidR="00FE0C5A" w:rsidRDefault="000C18DB" w:rsidP="00F113BD">
            <w:pPr>
              <w:spacing w:after="0"/>
              <w:jc w:val="right"/>
              <w:rPr>
                <w:rFonts w:eastAsia="Times New Roman"/>
              </w:rPr>
            </w:pPr>
            <w:r>
              <w:rPr>
                <w:rFonts w:ascii="Arial" w:eastAsia="Times New Roman" w:hAnsi="Arial" w:cs="Arial"/>
                <w:sz w:val="16"/>
                <w:szCs w:val="16"/>
              </w:rPr>
              <w:t>(220.304,65)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32BE8" w14:textId="77777777" w:rsidR="00FE0C5A" w:rsidRDefault="000C18DB" w:rsidP="00F113BD">
            <w:pPr>
              <w:spacing w:after="0"/>
              <w:jc w:val="right"/>
              <w:rPr>
                <w:rFonts w:eastAsia="Times New Roman"/>
              </w:rPr>
            </w:pPr>
            <w:r>
              <w:rPr>
                <w:rFonts w:ascii="Arial" w:eastAsia="Times New Roman" w:hAnsi="Arial" w:cs="Arial"/>
                <w:sz w:val="16"/>
                <w:szCs w:val="16"/>
              </w:rPr>
              <w:t>(144.001,58)</w:t>
            </w:r>
          </w:p>
        </w:tc>
      </w:tr>
      <w:tr w:rsidR="00FE0C5A" w14:paraId="58B6FC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440169" w14:textId="77777777" w:rsidR="00FE0C5A" w:rsidRDefault="000C18DB" w:rsidP="00F113BD">
            <w:pPr>
              <w:spacing w:after="0"/>
              <w:rPr>
                <w:rFonts w:eastAsia="Times New Roman"/>
              </w:rPr>
            </w:pPr>
            <w:r>
              <w:rPr>
                <w:rFonts w:ascii="Arial" w:eastAsia="Times New Roman" w:hAnsi="Arial" w:cs="Arial"/>
                <w:sz w:val="16"/>
                <w:szCs w:val="16"/>
              </w:rPr>
              <w:t>Despesas com Serviços Associados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70B69" w14:textId="77777777" w:rsidR="00FE0C5A" w:rsidRDefault="000C18DB" w:rsidP="00F113BD">
            <w:pPr>
              <w:spacing w:after="0"/>
              <w:jc w:val="right"/>
              <w:rPr>
                <w:rFonts w:eastAsia="Times New Roman"/>
              </w:rPr>
            </w:pPr>
            <w:r>
              <w:rPr>
                <w:rFonts w:ascii="Arial" w:eastAsia="Times New Roman" w:hAnsi="Arial" w:cs="Arial"/>
                <w:sz w:val="16"/>
                <w:szCs w:val="16"/>
              </w:rPr>
              <w:t>(1.055.549,33)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D950F" w14:textId="77777777" w:rsidR="00FE0C5A" w:rsidRDefault="000C18DB" w:rsidP="00F113BD">
            <w:pPr>
              <w:spacing w:after="0"/>
              <w:jc w:val="right"/>
              <w:rPr>
                <w:rFonts w:eastAsia="Times New Roman"/>
              </w:rPr>
            </w:pPr>
            <w:r>
              <w:rPr>
                <w:rFonts w:ascii="Arial" w:eastAsia="Times New Roman" w:hAnsi="Arial" w:cs="Arial"/>
                <w:sz w:val="16"/>
                <w:szCs w:val="16"/>
              </w:rPr>
              <w:t>(1.431.037,23)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C3916"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0F1559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0654DF" w14:textId="77777777" w:rsidR="00FE0C5A" w:rsidRDefault="000C18DB" w:rsidP="00F113BD">
            <w:pPr>
              <w:spacing w:after="0"/>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2EB8B" w14:textId="77777777" w:rsidR="00FE0C5A" w:rsidRDefault="000C18DB" w:rsidP="00F113BD">
            <w:pPr>
              <w:spacing w:after="0"/>
              <w:jc w:val="right"/>
              <w:rPr>
                <w:rFonts w:eastAsia="Times New Roman"/>
              </w:rPr>
            </w:pPr>
            <w:r>
              <w:rPr>
                <w:rFonts w:ascii="Arial" w:eastAsia="Times New Roman" w:hAnsi="Arial" w:cs="Arial"/>
                <w:sz w:val="16"/>
                <w:szCs w:val="16"/>
              </w:rPr>
              <w:t>(65.335,40)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30923" w14:textId="77777777" w:rsidR="00FE0C5A" w:rsidRDefault="000C18DB" w:rsidP="00F113BD">
            <w:pPr>
              <w:spacing w:after="0"/>
              <w:jc w:val="right"/>
              <w:rPr>
                <w:rFonts w:eastAsia="Times New Roman"/>
              </w:rPr>
            </w:pPr>
            <w:r>
              <w:rPr>
                <w:rFonts w:ascii="Arial" w:eastAsia="Times New Roman" w:hAnsi="Arial" w:cs="Arial"/>
                <w:sz w:val="16"/>
                <w:szCs w:val="16"/>
              </w:rPr>
              <w:t>(112.608,08)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27529" w14:textId="77777777" w:rsidR="00FE0C5A" w:rsidRDefault="000C18DB" w:rsidP="00F113BD">
            <w:pPr>
              <w:spacing w:after="0"/>
              <w:jc w:val="right"/>
              <w:rPr>
                <w:rFonts w:eastAsia="Times New Roman"/>
              </w:rPr>
            </w:pPr>
            <w:r>
              <w:rPr>
                <w:rFonts w:ascii="Arial" w:eastAsia="Times New Roman" w:hAnsi="Arial" w:cs="Arial"/>
                <w:sz w:val="16"/>
                <w:szCs w:val="16"/>
              </w:rPr>
              <w:t>(91.646,93)</w:t>
            </w:r>
          </w:p>
        </w:tc>
      </w:tr>
      <w:tr w:rsidR="00FE0C5A" w14:paraId="00EC81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1DE2AB" w14:textId="77777777" w:rsidR="00FE0C5A" w:rsidRDefault="000C18DB" w:rsidP="00F113BD">
            <w:pPr>
              <w:spacing w:after="0"/>
              <w:rPr>
                <w:rFonts w:eastAsia="Times New Roman"/>
              </w:rPr>
            </w:pPr>
            <w:r>
              <w:rPr>
                <w:rFonts w:ascii="Arial" w:eastAsia="Times New Roman" w:hAnsi="Arial" w:cs="Arial"/>
                <w:sz w:val="16"/>
                <w:szCs w:val="16"/>
              </w:rPr>
              <w:lastRenderedPageBreak/>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D8307" w14:textId="77777777" w:rsidR="00FE0C5A" w:rsidRDefault="000C18DB" w:rsidP="00F113BD">
            <w:pPr>
              <w:spacing w:after="0"/>
              <w:jc w:val="right"/>
              <w:rPr>
                <w:rFonts w:eastAsia="Times New Roman"/>
              </w:rPr>
            </w:pPr>
            <w:r>
              <w:rPr>
                <w:rFonts w:ascii="Arial" w:eastAsia="Times New Roman" w:hAnsi="Arial" w:cs="Arial"/>
                <w:sz w:val="16"/>
                <w:szCs w:val="16"/>
              </w:rPr>
              <w:t>(85.148,50)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87343" w14:textId="77777777" w:rsidR="00FE0C5A" w:rsidRDefault="000C18DB" w:rsidP="00F113BD">
            <w:pPr>
              <w:spacing w:after="0"/>
              <w:jc w:val="right"/>
              <w:rPr>
                <w:rFonts w:eastAsia="Times New Roman"/>
              </w:rPr>
            </w:pPr>
            <w:r>
              <w:rPr>
                <w:rFonts w:ascii="Arial" w:eastAsia="Times New Roman" w:hAnsi="Arial" w:cs="Arial"/>
                <w:sz w:val="16"/>
                <w:szCs w:val="16"/>
              </w:rPr>
              <w:t>(144.125,42)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ADBBB" w14:textId="77777777" w:rsidR="00FE0C5A" w:rsidRDefault="000C18DB" w:rsidP="00F113BD">
            <w:pPr>
              <w:spacing w:after="0"/>
              <w:jc w:val="right"/>
              <w:rPr>
                <w:rFonts w:eastAsia="Times New Roman"/>
              </w:rPr>
            </w:pPr>
            <w:r>
              <w:rPr>
                <w:rFonts w:ascii="Arial" w:eastAsia="Times New Roman" w:hAnsi="Arial" w:cs="Arial"/>
                <w:sz w:val="16"/>
                <w:szCs w:val="16"/>
              </w:rPr>
              <w:t>(85.328,58)</w:t>
            </w:r>
          </w:p>
        </w:tc>
      </w:tr>
      <w:tr w:rsidR="00FE0C5A" w14:paraId="4E0E44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36D304" w14:textId="77777777" w:rsidR="00FE0C5A" w:rsidRDefault="000C18DB" w:rsidP="00F113BD">
            <w:pPr>
              <w:spacing w:after="0"/>
              <w:rPr>
                <w:rFonts w:eastAsia="Times New Roman"/>
              </w:rPr>
            </w:pPr>
            <w:r>
              <w:rPr>
                <w:rFonts w:ascii="Arial" w:eastAsia="Times New Roman" w:hAnsi="Arial" w:cs="Arial"/>
                <w:sz w:val="16"/>
                <w:szCs w:val="16"/>
              </w:rPr>
              <w:t>Contrib. ao Fundo de Ressarc.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9F0C9" w14:textId="77777777" w:rsidR="00FE0C5A" w:rsidRDefault="000C18DB" w:rsidP="00F113BD">
            <w:pPr>
              <w:spacing w:after="0"/>
              <w:jc w:val="right"/>
              <w:rPr>
                <w:rFonts w:eastAsia="Times New Roman"/>
              </w:rPr>
            </w:pPr>
            <w:r>
              <w:rPr>
                <w:rFonts w:ascii="Arial" w:eastAsia="Times New Roman" w:hAnsi="Arial" w:cs="Arial"/>
                <w:sz w:val="16"/>
                <w:szCs w:val="16"/>
              </w:rPr>
              <w:t>(11.247,24)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71410" w14:textId="77777777" w:rsidR="00FE0C5A" w:rsidRDefault="000C18DB" w:rsidP="00F113BD">
            <w:pPr>
              <w:spacing w:after="0"/>
              <w:jc w:val="right"/>
              <w:rPr>
                <w:rFonts w:eastAsia="Times New Roman"/>
              </w:rPr>
            </w:pPr>
            <w:r>
              <w:rPr>
                <w:rFonts w:ascii="Arial" w:eastAsia="Times New Roman" w:hAnsi="Arial" w:cs="Arial"/>
                <w:sz w:val="16"/>
                <w:szCs w:val="16"/>
              </w:rPr>
              <w:t>(24.304,57)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9A57B" w14:textId="77777777" w:rsidR="00FE0C5A" w:rsidRDefault="000C18DB" w:rsidP="00F113BD">
            <w:pPr>
              <w:spacing w:after="0"/>
              <w:jc w:val="right"/>
              <w:rPr>
                <w:rFonts w:eastAsia="Times New Roman"/>
              </w:rPr>
            </w:pPr>
            <w:r>
              <w:rPr>
                <w:rFonts w:ascii="Arial" w:eastAsia="Times New Roman" w:hAnsi="Arial" w:cs="Arial"/>
                <w:sz w:val="16"/>
                <w:szCs w:val="16"/>
              </w:rPr>
              <w:t>(114.586,57)</w:t>
            </w:r>
          </w:p>
        </w:tc>
      </w:tr>
      <w:tr w:rsidR="00FE0C5A" w14:paraId="76F79A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796791" w14:textId="77777777" w:rsidR="00FE0C5A" w:rsidRDefault="000C18DB" w:rsidP="00F113BD">
            <w:pPr>
              <w:spacing w:after="0"/>
              <w:rPr>
                <w:rFonts w:eastAsia="Times New Roman"/>
              </w:rPr>
            </w:pPr>
            <w:r>
              <w:rPr>
                <w:rFonts w:ascii="Arial" w:eastAsia="Times New Roman" w:hAnsi="Arial" w:cs="Arial"/>
                <w:sz w:val="16"/>
                <w:szCs w:val="16"/>
              </w:rPr>
              <w:t xml:space="preserve">Perdas - Fraudes </w:t>
            </w:r>
            <w:r>
              <w:rPr>
                <w:rFonts w:ascii="Arial" w:eastAsia="Times New Roman" w:hAnsi="Arial" w:cs="Arial"/>
                <w:sz w:val="16"/>
                <w:szCs w:val="16"/>
              </w:rPr>
              <w:t>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6EE5C" w14:textId="77777777" w:rsidR="00FE0C5A" w:rsidRDefault="000C18DB" w:rsidP="00F113BD">
            <w:pPr>
              <w:spacing w:after="0"/>
              <w:jc w:val="right"/>
              <w:rPr>
                <w:rFonts w:eastAsia="Times New Roman"/>
              </w:rPr>
            </w:pPr>
            <w:r>
              <w:rPr>
                <w:rFonts w:ascii="Arial" w:eastAsia="Times New Roman" w:hAnsi="Arial" w:cs="Arial"/>
                <w:sz w:val="16"/>
                <w:szCs w:val="16"/>
              </w:rPr>
              <w:t>(83.378,80)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2FA3E" w14:textId="77777777" w:rsidR="00FE0C5A" w:rsidRDefault="000C18DB" w:rsidP="00F113BD">
            <w:pPr>
              <w:spacing w:after="0"/>
              <w:jc w:val="right"/>
              <w:rPr>
                <w:rFonts w:eastAsia="Times New Roman"/>
              </w:rPr>
            </w:pPr>
            <w:r>
              <w:rPr>
                <w:rFonts w:ascii="Arial" w:eastAsia="Times New Roman" w:hAnsi="Arial" w:cs="Arial"/>
                <w:sz w:val="16"/>
                <w:szCs w:val="16"/>
              </w:rPr>
              <w:t>(129.396,02)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6E68E"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46EBE7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F85DF7" w14:textId="77777777" w:rsidR="00FE0C5A" w:rsidRDefault="000C18DB" w:rsidP="00F113BD">
            <w:pPr>
              <w:spacing w:after="0"/>
              <w:rPr>
                <w:rFonts w:eastAsia="Times New Roman"/>
              </w:rPr>
            </w:pPr>
            <w:r>
              <w:rPr>
                <w:rFonts w:ascii="Arial" w:eastAsia="Times New Roman" w:hAnsi="Arial" w:cs="Arial"/>
                <w:sz w:val="16"/>
                <w:szCs w:val="16"/>
              </w:rPr>
              <w:t>Perdas - Falhas em Sistemas de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998C9"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71882"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4039F" w14:textId="77777777" w:rsidR="00FE0C5A" w:rsidRDefault="000C18DB" w:rsidP="00F113BD">
            <w:pPr>
              <w:spacing w:after="0"/>
              <w:jc w:val="right"/>
              <w:rPr>
                <w:rFonts w:eastAsia="Times New Roman"/>
              </w:rPr>
            </w:pPr>
            <w:r>
              <w:rPr>
                <w:rFonts w:ascii="Arial" w:eastAsia="Times New Roman" w:hAnsi="Arial" w:cs="Arial"/>
                <w:sz w:val="16"/>
                <w:szCs w:val="16"/>
              </w:rPr>
              <w:t>(11.654,44)</w:t>
            </w:r>
          </w:p>
        </w:tc>
      </w:tr>
      <w:tr w:rsidR="00FE0C5A" w14:paraId="44D48B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0F3DFF" w14:textId="77777777" w:rsidR="00FE0C5A" w:rsidRDefault="000C18DB" w:rsidP="00F113BD">
            <w:pPr>
              <w:spacing w:after="0"/>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A4B62" w14:textId="77777777" w:rsidR="00FE0C5A" w:rsidRDefault="000C18DB" w:rsidP="00F113BD">
            <w:pPr>
              <w:spacing w:after="0"/>
              <w:jc w:val="right"/>
              <w:rPr>
                <w:rFonts w:eastAsia="Times New Roman"/>
              </w:rPr>
            </w:pPr>
            <w:r>
              <w:rPr>
                <w:rFonts w:ascii="Arial" w:eastAsia="Times New Roman" w:hAnsi="Arial" w:cs="Arial"/>
                <w:sz w:val="16"/>
                <w:szCs w:val="16"/>
              </w:rPr>
              <w:t>(628.960,55)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AD016" w14:textId="77777777" w:rsidR="00FE0C5A" w:rsidRDefault="000C18DB" w:rsidP="00F113BD">
            <w:pPr>
              <w:spacing w:after="0"/>
              <w:jc w:val="right"/>
              <w:rPr>
                <w:rFonts w:eastAsia="Times New Roman"/>
              </w:rPr>
            </w:pPr>
            <w:r>
              <w:rPr>
                <w:rFonts w:ascii="Arial" w:eastAsia="Times New Roman" w:hAnsi="Arial" w:cs="Arial"/>
                <w:sz w:val="16"/>
                <w:szCs w:val="16"/>
              </w:rPr>
              <w:t>(1.098.337,77)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D9B89" w14:textId="77777777" w:rsidR="00FE0C5A" w:rsidRDefault="000C18DB" w:rsidP="00F113BD">
            <w:pPr>
              <w:spacing w:after="0"/>
              <w:jc w:val="right"/>
              <w:rPr>
                <w:rFonts w:eastAsia="Times New Roman"/>
              </w:rPr>
            </w:pPr>
            <w:r>
              <w:rPr>
                <w:rFonts w:ascii="Arial" w:eastAsia="Times New Roman" w:hAnsi="Arial" w:cs="Arial"/>
                <w:sz w:val="16"/>
                <w:szCs w:val="16"/>
              </w:rPr>
              <w:t>(552.562,82)</w:t>
            </w:r>
          </w:p>
        </w:tc>
      </w:tr>
      <w:tr w:rsidR="00FE0C5A" w14:paraId="27DC63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F6627E" w14:textId="1B55D1EE" w:rsidR="00FE0C5A" w:rsidRDefault="000C18DB" w:rsidP="004565FC">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D3998" w14:textId="77777777" w:rsidR="00FE0C5A" w:rsidRDefault="000C18DB" w:rsidP="00F113BD">
            <w:pPr>
              <w:spacing w:after="0"/>
              <w:jc w:val="right"/>
              <w:rPr>
                <w:rFonts w:eastAsia="Times New Roman"/>
              </w:rPr>
            </w:pPr>
            <w:r>
              <w:rPr>
                <w:rFonts w:ascii="Arial" w:eastAsia="Times New Roman" w:hAnsi="Arial" w:cs="Arial"/>
                <w:b/>
                <w:bCs/>
                <w:sz w:val="16"/>
                <w:szCs w:val="16"/>
              </w:rPr>
              <w:t>(2.093.940,86)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72A13" w14:textId="77777777" w:rsidR="00FE0C5A" w:rsidRDefault="000C18DB" w:rsidP="00F113BD">
            <w:pPr>
              <w:spacing w:after="0"/>
              <w:jc w:val="right"/>
              <w:rPr>
                <w:rFonts w:eastAsia="Times New Roman"/>
              </w:rPr>
            </w:pPr>
            <w:r>
              <w:rPr>
                <w:rFonts w:ascii="Arial" w:eastAsia="Times New Roman" w:hAnsi="Arial" w:cs="Arial"/>
                <w:b/>
                <w:bCs/>
                <w:sz w:val="16"/>
                <w:szCs w:val="16"/>
              </w:rPr>
              <w:t>(3.176.151,95)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5FB0A" w14:textId="77777777" w:rsidR="00FE0C5A" w:rsidRDefault="000C18DB" w:rsidP="00F113BD">
            <w:pPr>
              <w:spacing w:after="0"/>
              <w:jc w:val="right"/>
              <w:rPr>
                <w:rFonts w:eastAsia="Times New Roman"/>
              </w:rPr>
            </w:pPr>
            <w:r>
              <w:rPr>
                <w:rFonts w:ascii="Arial" w:eastAsia="Times New Roman" w:hAnsi="Arial" w:cs="Arial"/>
                <w:b/>
                <w:bCs/>
                <w:sz w:val="16"/>
                <w:szCs w:val="16"/>
              </w:rPr>
              <w:t>(1.017.562,85)</w:t>
            </w:r>
          </w:p>
        </w:tc>
      </w:tr>
    </w:tbl>
    <w:p w14:paraId="7D83C457" w14:textId="19346A00" w:rsidR="00FE0C5A" w:rsidRDefault="000C18DB">
      <w:pPr>
        <w:pStyle w:val="NormalWeb"/>
        <w:jc w:val="both"/>
      </w:pPr>
      <w:r>
        <w:rPr>
          <w:rFonts w:ascii="Arial" w:hAnsi="Arial" w:cs="Arial"/>
          <w:sz w:val="20"/>
          <w:szCs w:val="20"/>
        </w:rPr>
        <w:t xml:space="preserve">(a) A variação apresentada nas Despesas com Serviços Associados a Transações de Pagamento se deve a alteração no modelo de negócios de emissões de cartões, conforme nota explicativa nº </w:t>
      </w:r>
      <w:r w:rsidR="004565FC">
        <w:rPr>
          <w:rFonts w:ascii="Arial" w:hAnsi="Arial" w:cs="Arial"/>
          <w:sz w:val="20"/>
          <w:szCs w:val="20"/>
        </w:rPr>
        <w:t>22</w:t>
      </w:r>
      <w:r>
        <w:rPr>
          <w:rFonts w:ascii="Arial" w:hAnsi="Arial" w:cs="Arial"/>
          <w:sz w:val="20"/>
          <w:szCs w:val="20"/>
        </w:rPr>
        <w:t>(a</w:t>
      </w:r>
    </w:p>
    <w:p w14:paraId="43103AD0" w14:textId="12447180" w:rsidR="00FE0C5A" w:rsidRDefault="00663642">
      <w:pPr>
        <w:pStyle w:val="NormalWeb"/>
      </w:pPr>
      <w:r>
        <w:rPr>
          <w:rFonts w:ascii="Arial" w:hAnsi="Arial" w:cs="Arial"/>
          <w:b/>
          <w:bCs/>
          <w:sz w:val="20"/>
          <w:szCs w:val="20"/>
        </w:rPr>
        <w:t>30. Despesas com Provisões</w:t>
      </w:r>
    </w:p>
    <w:tbl>
      <w:tblPr>
        <w:tblW w:w="5000" w:type="pct"/>
        <w:tblCellMar>
          <w:left w:w="0" w:type="dxa"/>
          <w:right w:w="0" w:type="dxa"/>
        </w:tblCellMar>
        <w:tblLook w:val="04A0" w:firstRow="1" w:lastRow="0" w:firstColumn="1" w:lastColumn="0" w:noHBand="0" w:noVBand="1"/>
      </w:tblPr>
      <w:tblGrid>
        <w:gridCol w:w="5656"/>
        <w:gridCol w:w="1444"/>
        <w:gridCol w:w="1444"/>
        <w:gridCol w:w="1444"/>
      </w:tblGrid>
      <w:tr w:rsidR="00FE0C5A" w14:paraId="292194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AD051E"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A3BA5"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F0A6C"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FB722"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7F56DD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547E44" w14:textId="77777777" w:rsidR="00FE0C5A" w:rsidRDefault="000C18DB" w:rsidP="00F113BD">
            <w:pPr>
              <w:spacing w:after="0"/>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CBB7D" w14:textId="77777777" w:rsidR="00FE0C5A" w:rsidRDefault="000C18DB" w:rsidP="00F113BD">
            <w:pPr>
              <w:spacing w:after="0"/>
              <w:jc w:val="right"/>
              <w:rPr>
                <w:rFonts w:eastAsia="Times New Roman"/>
              </w:rPr>
            </w:pPr>
            <w:r>
              <w:rPr>
                <w:rFonts w:ascii="Arial" w:eastAsia="Times New Roman" w:hAnsi="Arial" w:cs="Arial"/>
                <w:b/>
                <w:bCs/>
                <w:sz w:val="16"/>
                <w:szCs w:val="16"/>
              </w:rPr>
              <w:t>(259.600,44)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17A82" w14:textId="77777777" w:rsidR="00FE0C5A" w:rsidRDefault="000C18DB" w:rsidP="00F113BD">
            <w:pPr>
              <w:spacing w:after="0"/>
              <w:jc w:val="right"/>
              <w:rPr>
                <w:rFonts w:eastAsia="Times New Roman"/>
              </w:rPr>
            </w:pPr>
            <w:r>
              <w:rPr>
                <w:rFonts w:ascii="Arial" w:eastAsia="Times New Roman" w:hAnsi="Arial" w:cs="Arial"/>
                <w:b/>
                <w:bCs/>
                <w:sz w:val="16"/>
                <w:szCs w:val="16"/>
              </w:rPr>
              <w:t>(411.001,60)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5ADBC" w14:textId="77777777" w:rsidR="00FE0C5A" w:rsidRDefault="000C18DB" w:rsidP="00F113BD">
            <w:pPr>
              <w:spacing w:after="0"/>
              <w:jc w:val="right"/>
              <w:rPr>
                <w:rFonts w:eastAsia="Times New Roman"/>
              </w:rPr>
            </w:pPr>
            <w:r>
              <w:rPr>
                <w:rFonts w:ascii="Arial" w:eastAsia="Times New Roman" w:hAnsi="Arial" w:cs="Arial"/>
                <w:b/>
                <w:bCs/>
                <w:sz w:val="16"/>
                <w:szCs w:val="16"/>
              </w:rPr>
              <w:t>(123.442,09)</w:t>
            </w:r>
          </w:p>
        </w:tc>
      </w:tr>
      <w:tr w:rsidR="00FE0C5A" w14:paraId="567297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76167E" w14:textId="77777777" w:rsidR="00FE0C5A" w:rsidRDefault="000C18DB" w:rsidP="00F113BD">
            <w:pPr>
              <w:spacing w:after="0"/>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9A921" w14:textId="77777777" w:rsidR="00FE0C5A" w:rsidRDefault="000C18DB" w:rsidP="00F113BD">
            <w:pPr>
              <w:spacing w:after="0"/>
              <w:jc w:val="right"/>
              <w:rPr>
                <w:rFonts w:eastAsia="Times New Roman"/>
              </w:rPr>
            </w:pPr>
            <w:r>
              <w:rPr>
                <w:rFonts w:ascii="Arial" w:eastAsia="Times New Roman" w:hAnsi="Arial" w:cs="Arial"/>
                <w:sz w:val="16"/>
                <w:szCs w:val="16"/>
              </w:rPr>
              <w:t>(259.600,44)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A2A28" w14:textId="77777777" w:rsidR="00FE0C5A" w:rsidRDefault="000C18DB" w:rsidP="00F113BD">
            <w:pPr>
              <w:spacing w:after="0"/>
              <w:jc w:val="right"/>
              <w:rPr>
                <w:rFonts w:eastAsia="Times New Roman"/>
              </w:rPr>
            </w:pPr>
            <w:r>
              <w:rPr>
                <w:rFonts w:ascii="Arial" w:eastAsia="Times New Roman" w:hAnsi="Arial" w:cs="Arial"/>
                <w:sz w:val="16"/>
                <w:szCs w:val="16"/>
              </w:rPr>
              <w:t>(411.001,60)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03234" w14:textId="77777777" w:rsidR="00FE0C5A" w:rsidRDefault="000C18DB" w:rsidP="00F113BD">
            <w:pPr>
              <w:spacing w:after="0"/>
              <w:jc w:val="right"/>
              <w:rPr>
                <w:rFonts w:eastAsia="Times New Roman"/>
              </w:rPr>
            </w:pPr>
            <w:r>
              <w:rPr>
                <w:rFonts w:ascii="Arial" w:eastAsia="Times New Roman" w:hAnsi="Arial" w:cs="Arial"/>
                <w:sz w:val="16"/>
                <w:szCs w:val="16"/>
              </w:rPr>
              <w:t>(131.089,24)</w:t>
            </w:r>
          </w:p>
        </w:tc>
      </w:tr>
      <w:tr w:rsidR="00FE0C5A" w14:paraId="5B2ABF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1CCD92" w14:textId="77777777" w:rsidR="00FE0C5A" w:rsidRDefault="000C18DB" w:rsidP="00F113BD">
            <w:pPr>
              <w:spacing w:after="0"/>
              <w:rPr>
                <w:rFonts w:eastAsia="Times New Roman"/>
              </w:rPr>
            </w:pPr>
            <w:r>
              <w:rPr>
                <w:rFonts w:ascii="Arial" w:eastAsia="Times New Roman" w:hAnsi="Arial" w:cs="Arial"/>
                <w:sz w:val="16"/>
                <w:szCs w:val="16"/>
              </w:rPr>
              <w:t>Reversões de 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701D4"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DE6CD"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C1692" w14:textId="77777777" w:rsidR="00FE0C5A" w:rsidRDefault="000C18DB" w:rsidP="00F113BD">
            <w:pPr>
              <w:spacing w:after="0"/>
              <w:jc w:val="right"/>
              <w:rPr>
                <w:rFonts w:eastAsia="Times New Roman"/>
              </w:rPr>
            </w:pPr>
            <w:r>
              <w:rPr>
                <w:rFonts w:ascii="Arial" w:eastAsia="Times New Roman" w:hAnsi="Arial" w:cs="Arial"/>
                <w:sz w:val="16"/>
                <w:szCs w:val="16"/>
              </w:rPr>
              <w:t>7.647,15</w:t>
            </w:r>
          </w:p>
        </w:tc>
      </w:tr>
      <w:tr w:rsidR="00FE0C5A" w14:paraId="19299B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0335E7" w14:textId="77777777" w:rsidR="00FE0C5A" w:rsidRDefault="000C18DB" w:rsidP="00F113BD">
            <w:pPr>
              <w:spacing w:after="0"/>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7A2CE" w14:textId="77777777" w:rsidR="00FE0C5A" w:rsidRDefault="000C18DB" w:rsidP="00F113BD">
            <w:pPr>
              <w:spacing w:after="0"/>
              <w:jc w:val="right"/>
              <w:rPr>
                <w:rFonts w:eastAsia="Times New Roman"/>
              </w:rPr>
            </w:pPr>
            <w:r>
              <w:rPr>
                <w:rFonts w:ascii="Arial" w:eastAsia="Times New Roman" w:hAnsi="Arial" w:cs="Arial"/>
                <w:b/>
                <w:bCs/>
                <w:sz w:val="16"/>
                <w:szCs w:val="16"/>
              </w:rPr>
              <w:t>(192.612,04)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D820B" w14:textId="77777777" w:rsidR="00FE0C5A" w:rsidRDefault="000C18DB" w:rsidP="00F113BD">
            <w:pPr>
              <w:spacing w:after="0"/>
              <w:jc w:val="right"/>
              <w:rPr>
                <w:rFonts w:eastAsia="Times New Roman"/>
              </w:rPr>
            </w:pPr>
            <w:r>
              <w:rPr>
                <w:rFonts w:ascii="Arial" w:eastAsia="Times New Roman" w:hAnsi="Arial" w:cs="Arial"/>
                <w:b/>
                <w:bCs/>
                <w:sz w:val="16"/>
                <w:szCs w:val="16"/>
              </w:rPr>
              <w:t>(235.969,22)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2A53B" w14:textId="77777777" w:rsidR="00FE0C5A" w:rsidRDefault="000C18DB" w:rsidP="00F113BD">
            <w:pPr>
              <w:spacing w:after="0"/>
              <w:jc w:val="right"/>
              <w:rPr>
                <w:rFonts w:eastAsia="Times New Roman"/>
              </w:rPr>
            </w:pPr>
            <w:r>
              <w:rPr>
                <w:rFonts w:ascii="Arial" w:eastAsia="Times New Roman" w:hAnsi="Arial" w:cs="Arial"/>
                <w:b/>
                <w:bCs/>
                <w:sz w:val="16"/>
                <w:szCs w:val="16"/>
              </w:rPr>
              <w:t>(158.023,46)</w:t>
            </w:r>
          </w:p>
        </w:tc>
      </w:tr>
      <w:tr w:rsidR="00FE0C5A" w14:paraId="7A5F0D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51B3F6" w14:textId="77777777" w:rsidR="00FE0C5A" w:rsidRDefault="000C18DB" w:rsidP="00F113BD">
            <w:pPr>
              <w:spacing w:after="0"/>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1E506" w14:textId="77777777" w:rsidR="00FE0C5A" w:rsidRDefault="000C18DB" w:rsidP="00F113BD">
            <w:pPr>
              <w:spacing w:after="0"/>
              <w:jc w:val="right"/>
              <w:rPr>
                <w:rFonts w:eastAsia="Times New Roman"/>
              </w:rPr>
            </w:pPr>
            <w:r>
              <w:rPr>
                <w:rFonts w:ascii="Arial" w:eastAsia="Times New Roman" w:hAnsi="Arial" w:cs="Arial"/>
                <w:sz w:val="16"/>
                <w:szCs w:val="16"/>
              </w:rPr>
              <w:t>(433.611,77)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BC602" w14:textId="77777777" w:rsidR="00FE0C5A" w:rsidRDefault="000C18DB" w:rsidP="00F113BD">
            <w:pPr>
              <w:spacing w:after="0"/>
              <w:jc w:val="right"/>
              <w:rPr>
                <w:rFonts w:eastAsia="Times New Roman"/>
              </w:rPr>
            </w:pPr>
            <w:r>
              <w:rPr>
                <w:rFonts w:ascii="Arial" w:eastAsia="Times New Roman" w:hAnsi="Arial" w:cs="Arial"/>
                <w:sz w:val="16"/>
                <w:szCs w:val="16"/>
              </w:rPr>
              <w:t>(790.740,68)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828B9" w14:textId="77777777" w:rsidR="00FE0C5A" w:rsidRDefault="000C18DB" w:rsidP="00F113BD">
            <w:pPr>
              <w:spacing w:after="0"/>
              <w:jc w:val="right"/>
              <w:rPr>
                <w:rFonts w:eastAsia="Times New Roman"/>
              </w:rPr>
            </w:pPr>
            <w:r>
              <w:rPr>
                <w:rFonts w:ascii="Arial" w:eastAsia="Times New Roman" w:hAnsi="Arial" w:cs="Arial"/>
                <w:sz w:val="16"/>
                <w:szCs w:val="16"/>
              </w:rPr>
              <w:t>(610.344,17)</w:t>
            </w:r>
          </w:p>
        </w:tc>
      </w:tr>
      <w:tr w:rsidR="00FE0C5A" w14:paraId="0C1E7B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980450" w14:textId="77777777" w:rsidR="00FE0C5A" w:rsidRDefault="000C18DB" w:rsidP="00F113BD">
            <w:pPr>
              <w:spacing w:after="0"/>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A3121" w14:textId="77777777" w:rsidR="00FE0C5A" w:rsidRDefault="000C18DB" w:rsidP="00F113BD">
            <w:pPr>
              <w:spacing w:after="0"/>
              <w:jc w:val="right"/>
              <w:rPr>
                <w:rFonts w:eastAsia="Times New Roman"/>
              </w:rPr>
            </w:pPr>
            <w:r>
              <w:rPr>
                <w:rFonts w:ascii="Arial" w:eastAsia="Times New Roman" w:hAnsi="Arial" w:cs="Arial"/>
                <w:sz w:val="16"/>
                <w:szCs w:val="16"/>
              </w:rPr>
              <w:t>240.999,73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B7E15" w14:textId="77777777" w:rsidR="00FE0C5A" w:rsidRDefault="000C18DB" w:rsidP="00F113BD">
            <w:pPr>
              <w:spacing w:after="0"/>
              <w:jc w:val="right"/>
              <w:rPr>
                <w:rFonts w:eastAsia="Times New Roman"/>
              </w:rPr>
            </w:pPr>
            <w:r>
              <w:rPr>
                <w:rFonts w:ascii="Arial" w:eastAsia="Times New Roman" w:hAnsi="Arial" w:cs="Arial"/>
                <w:sz w:val="16"/>
                <w:szCs w:val="16"/>
              </w:rPr>
              <w:t>554.771,46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09CDD" w14:textId="77777777" w:rsidR="00FE0C5A" w:rsidRDefault="000C18DB" w:rsidP="00F113BD">
            <w:pPr>
              <w:spacing w:after="0"/>
              <w:jc w:val="right"/>
              <w:rPr>
                <w:rFonts w:eastAsia="Times New Roman"/>
              </w:rPr>
            </w:pPr>
            <w:r>
              <w:rPr>
                <w:rFonts w:ascii="Arial" w:eastAsia="Times New Roman" w:hAnsi="Arial" w:cs="Arial"/>
                <w:sz w:val="16"/>
                <w:szCs w:val="16"/>
              </w:rPr>
              <w:t>452.320,71</w:t>
            </w:r>
          </w:p>
        </w:tc>
      </w:tr>
      <w:tr w:rsidR="00FE0C5A" w14:paraId="6AB339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6F77A7" w14:textId="77777777" w:rsidR="00FE0C5A" w:rsidRDefault="000C18DB" w:rsidP="00F113BD">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E057B" w14:textId="77777777" w:rsidR="00FE0C5A" w:rsidRDefault="000C18DB" w:rsidP="00F113BD">
            <w:pPr>
              <w:spacing w:after="0"/>
              <w:jc w:val="right"/>
              <w:rPr>
                <w:rFonts w:eastAsia="Times New Roman"/>
              </w:rPr>
            </w:pPr>
            <w:r>
              <w:rPr>
                <w:rFonts w:ascii="Arial" w:eastAsia="Times New Roman" w:hAnsi="Arial" w:cs="Arial"/>
                <w:b/>
                <w:bCs/>
                <w:sz w:val="16"/>
                <w:szCs w:val="16"/>
              </w:rPr>
              <w:t>(452.212,48)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501EC" w14:textId="77777777" w:rsidR="00FE0C5A" w:rsidRDefault="000C18DB" w:rsidP="00F113BD">
            <w:pPr>
              <w:spacing w:after="0"/>
              <w:jc w:val="right"/>
              <w:rPr>
                <w:rFonts w:eastAsia="Times New Roman"/>
              </w:rPr>
            </w:pPr>
            <w:r>
              <w:rPr>
                <w:rFonts w:ascii="Arial" w:eastAsia="Times New Roman" w:hAnsi="Arial" w:cs="Arial"/>
                <w:b/>
                <w:bCs/>
                <w:sz w:val="16"/>
                <w:szCs w:val="16"/>
              </w:rPr>
              <w:t>(646.970,82)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78417" w14:textId="77777777" w:rsidR="00FE0C5A" w:rsidRDefault="000C18DB" w:rsidP="00F113BD">
            <w:pPr>
              <w:spacing w:after="0"/>
              <w:jc w:val="right"/>
              <w:rPr>
                <w:rFonts w:eastAsia="Times New Roman"/>
              </w:rPr>
            </w:pPr>
            <w:r>
              <w:rPr>
                <w:rFonts w:ascii="Arial" w:eastAsia="Times New Roman" w:hAnsi="Arial" w:cs="Arial"/>
                <w:b/>
                <w:bCs/>
                <w:sz w:val="16"/>
                <w:szCs w:val="16"/>
              </w:rPr>
              <w:t>(281.465,55)</w:t>
            </w:r>
          </w:p>
        </w:tc>
      </w:tr>
    </w:tbl>
    <w:p w14:paraId="7BCA0DDC" w14:textId="61144A72" w:rsidR="00FE0C5A" w:rsidRDefault="004565FC">
      <w:pPr>
        <w:pStyle w:val="NormalWeb"/>
      </w:pPr>
      <w:r>
        <w:rPr>
          <w:rFonts w:ascii="Arial" w:hAnsi="Arial" w:cs="Arial"/>
          <w:b/>
          <w:bCs/>
          <w:sz w:val="20"/>
          <w:szCs w:val="20"/>
        </w:rPr>
        <w:t>3</w:t>
      </w:r>
      <w:r w:rsidR="00663642">
        <w:rPr>
          <w:rFonts w:ascii="Arial" w:hAnsi="Arial" w:cs="Arial"/>
          <w:b/>
          <w:bCs/>
          <w:sz w:val="20"/>
          <w:szCs w:val="20"/>
        </w:rPr>
        <w:t>1</w:t>
      </w:r>
      <w:r>
        <w:rPr>
          <w:rFonts w:ascii="Arial" w:hAnsi="Arial" w:cs="Arial"/>
          <w:b/>
          <w:bCs/>
          <w:sz w:val="20"/>
          <w:szCs w:val="20"/>
        </w:rPr>
        <w:t>. Outras Receitas e Despesas</w:t>
      </w:r>
    </w:p>
    <w:tbl>
      <w:tblPr>
        <w:tblW w:w="5000" w:type="pct"/>
        <w:tblCellMar>
          <w:left w:w="0" w:type="dxa"/>
          <w:right w:w="0" w:type="dxa"/>
        </w:tblCellMar>
        <w:tblLook w:val="04A0" w:firstRow="1" w:lastRow="0" w:firstColumn="1" w:lastColumn="0" w:noHBand="0" w:noVBand="1"/>
      </w:tblPr>
      <w:tblGrid>
        <w:gridCol w:w="5581"/>
        <w:gridCol w:w="1377"/>
        <w:gridCol w:w="1498"/>
        <w:gridCol w:w="1532"/>
      </w:tblGrid>
      <w:tr w:rsidR="00FE0C5A" w14:paraId="714D11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82AA89"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4F5C0"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4B87D"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68947"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75B46F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AA271B" w14:textId="77777777" w:rsidR="00FE0C5A" w:rsidRDefault="000C18DB" w:rsidP="00F113BD">
            <w:pPr>
              <w:spacing w:after="0"/>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AF392" w14:textId="77777777" w:rsidR="00FE0C5A" w:rsidRDefault="000C18DB" w:rsidP="00F113BD">
            <w:pPr>
              <w:spacing w:after="0"/>
              <w:jc w:val="right"/>
              <w:rPr>
                <w:rFonts w:eastAsia="Times New Roman"/>
              </w:rPr>
            </w:pPr>
            <w:r>
              <w:rPr>
                <w:rFonts w:ascii="Arial" w:eastAsia="Times New Roman" w:hAnsi="Arial" w:cs="Arial"/>
                <w:sz w:val="16"/>
                <w:szCs w:val="16"/>
              </w:rPr>
              <w:t>7.101,71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F3427" w14:textId="77777777" w:rsidR="00FE0C5A" w:rsidRDefault="000C18DB" w:rsidP="00F113BD">
            <w:pPr>
              <w:spacing w:after="0"/>
              <w:jc w:val="right"/>
              <w:rPr>
                <w:rFonts w:eastAsia="Times New Roman"/>
              </w:rPr>
            </w:pPr>
            <w:r>
              <w:rPr>
                <w:rFonts w:ascii="Arial" w:eastAsia="Times New Roman" w:hAnsi="Arial" w:cs="Arial"/>
                <w:sz w:val="16"/>
                <w:szCs w:val="16"/>
              </w:rPr>
              <w:t>47.417,26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0AFC9" w14:textId="77777777" w:rsidR="00FE0C5A" w:rsidRDefault="000C18DB" w:rsidP="00F113BD">
            <w:pPr>
              <w:spacing w:after="0"/>
              <w:jc w:val="right"/>
              <w:rPr>
                <w:rFonts w:eastAsia="Times New Roman"/>
              </w:rPr>
            </w:pPr>
            <w:r>
              <w:rPr>
                <w:rFonts w:ascii="Arial" w:eastAsia="Times New Roman" w:hAnsi="Arial" w:cs="Arial"/>
                <w:sz w:val="16"/>
                <w:szCs w:val="16"/>
              </w:rPr>
              <w:t>11.215,25</w:t>
            </w:r>
          </w:p>
        </w:tc>
      </w:tr>
      <w:tr w:rsidR="004565FC" w14:paraId="29C426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38F8B4" w14:textId="77777777" w:rsidR="004565FC" w:rsidRDefault="004565FC" w:rsidP="004565FC">
            <w:pPr>
              <w:spacing w:after="0"/>
              <w:rPr>
                <w:rFonts w:eastAsia="Times New Roman"/>
              </w:rPr>
            </w:pPr>
            <w:r>
              <w:rPr>
                <w:rFonts w:ascii="Arial" w:eastAsia="Times New Roman" w:hAnsi="Arial" w:cs="Arial"/>
                <w:b/>
                <w:bCs/>
                <w:sz w:val="16"/>
                <w:szCs w:val="16"/>
              </w:rPr>
              <w:t>Provisões/Reversões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9E96E" w14:textId="7CD9F24B" w:rsidR="004565FC" w:rsidRPr="004565FC" w:rsidRDefault="004565FC" w:rsidP="004565FC">
            <w:pPr>
              <w:spacing w:after="0"/>
              <w:jc w:val="right"/>
              <w:rPr>
                <w:rFonts w:eastAsia="Times New Roman"/>
                <w:b/>
                <w:bCs/>
              </w:rPr>
            </w:pPr>
            <w:r w:rsidRPr="004565FC">
              <w:rPr>
                <w:rFonts w:ascii="Arial" w:eastAsia="Times New Roman" w:hAnsi="Arial" w:cs="Arial"/>
                <w:b/>
                <w:bCs/>
                <w:sz w:val="16"/>
                <w:szCs w:val="16"/>
              </w:rPr>
              <w:t>(3.813,40)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D0B35" w14:textId="50311085" w:rsidR="004565FC" w:rsidRPr="004565FC" w:rsidRDefault="004565FC" w:rsidP="004565FC">
            <w:pPr>
              <w:spacing w:after="0"/>
              <w:jc w:val="right"/>
              <w:rPr>
                <w:rFonts w:eastAsia="Times New Roman"/>
                <w:b/>
                <w:bCs/>
                <w:sz w:val="20"/>
                <w:szCs w:val="20"/>
              </w:rPr>
            </w:pPr>
            <w:r w:rsidRPr="004565FC">
              <w:rPr>
                <w:rFonts w:ascii="Arial" w:eastAsia="Times New Roman" w:hAnsi="Arial" w:cs="Arial"/>
                <w:b/>
                <w:bCs/>
                <w:sz w:val="16"/>
                <w:szCs w:val="16"/>
              </w:rPr>
              <w:t>(5.747,86)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3DFF9" w14:textId="0553A01A" w:rsidR="004565FC" w:rsidRPr="004565FC" w:rsidRDefault="004565FC" w:rsidP="004565FC">
            <w:pPr>
              <w:spacing w:after="0"/>
              <w:jc w:val="right"/>
              <w:rPr>
                <w:rFonts w:eastAsia="Times New Roman"/>
                <w:b/>
                <w:bCs/>
                <w:sz w:val="20"/>
                <w:szCs w:val="20"/>
              </w:rPr>
            </w:pPr>
            <w:r w:rsidRPr="004565FC">
              <w:rPr>
                <w:rFonts w:ascii="Arial" w:eastAsia="Times New Roman" w:hAnsi="Arial" w:cs="Arial"/>
                <w:b/>
                <w:bCs/>
                <w:sz w:val="16"/>
                <w:szCs w:val="16"/>
              </w:rPr>
              <w:t>(50.808,95)</w:t>
            </w:r>
          </w:p>
        </w:tc>
      </w:tr>
      <w:tr w:rsidR="004565FC" w14:paraId="4BBEB4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0D99A9" w14:textId="77777777" w:rsidR="004565FC" w:rsidRDefault="004565FC" w:rsidP="004565FC">
            <w:pPr>
              <w:spacing w:after="0"/>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CD32B" w14:textId="77777777" w:rsidR="004565FC" w:rsidRDefault="004565FC" w:rsidP="004565FC">
            <w:pPr>
              <w:spacing w:after="0"/>
              <w:jc w:val="right"/>
              <w:rPr>
                <w:rFonts w:eastAsia="Times New Roman"/>
              </w:rPr>
            </w:pPr>
            <w:r>
              <w:rPr>
                <w:rFonts w:ascii="Arial" w:eastAsia="Times New Roman" w:hAnsi="Arial" w:cs="Arial"/>
                <w:sz w:val="16"/>
                <w:szCs w:val="16"/>
              </w:rPr>
              <w:t>(3.813,40)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DEC3E" w14:textId="77777777" w:rsidR="004565FC" w:rsidRDefault="004565FC" w:rsidP="004565FC">
            <w:pPr>
              <w:spacing w:after="0"/>
              <w:jc w:val="right"/>
              <w:rPr>
                <w:rFonts w:eastAsia="Times New Roman"/>
              </w:rPr>
            </w:pPr>
            <w:r>
              <w:rPr>
                <w:rFonts w:ascii="Arial" w:eastAsia="Times New Roman" w:hAnsi="Arial" w:cs="Arial"/>
                <w:sz w:val="16"/>
                <w:szCs w:val="16"/>
              </w:rPr>
              <w:t>(5.747,86)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CD546" w14:textId="77777777" w:rsidR="004565FC" w:rsidRDefault="004565FC" w:rsidP="004565FC">
            <w:pPr>
              <w:spacing w:after="0"/>
              <w:jc w:val="right"/>
              <w:rPr>
                <w:rFonts w:eastAsia="Times New Roman"/>
              </w:rPr>
            </w:pPr>
            <w:r>
              <w:rPr>
                <w:rFonts w:ascii="Arial" w:eastAsia="Times New Roman" w:hAnsi="Arial" w:cs="Arial"/>
                <w:sz w:val="16"/>
                <w:szCs w:val="16"/>
              </w:rPr>
              <w:t>(50.808,95)</w:t>
            </w:r>
          </w:p>
        </w:tc>
      </w:tr>
      <w:tr w:rsidR="004565FC" w14:paraId="74926A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232713" w14:textId="77777777" w:rsidR="004565FC" w:rsidRDefault="004565FC" w:rsidP="004565FC">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EE768" w14:textId="77777777" w:rsidR="004565FC" w:rsidRDefault="004565FC" w:rsidP="004565FC">
            <w:pPr>
              <w:spacing w:after="0"/>
              <w:jc w:val="right"/>
              <w:rPr>
                <w:rFonts w:eastAsia="Times New Roman"/>
              </w:rPr>
            </w:pPr>
            <w:r>
              <w:rPr>
                <w:rFonts w:ascii="Arial" w:eastAsia="Times New Roman" w:hAnsi="Arial" w:cs="Arial"/>
                <w:b/>
                <w:bCs/>
                <w:sz w:val="16"/>
                <w:szCs w:val="16"/>
              </w:rPr>
              <w:t>3.288,31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06303" w14:textId="77777777" w:rsidR="004565FC" w:rsidRDefault="004565FC" w:rsidP="004565FC">
            <w:pPr>
              <w:spacing w:after="0"/>
              <w:jc w:val="right"/>
              <w:rPr>
                <w:rFonts w:eastAsia="Times New Roman"/>
              </w:rPr>
            </w:pPr>
            <w:r>
              <w:rPr>
                <w:rFonts w:ascii="Arial" w:eastAsia="Times New Roman" w:hAnsi="Arial" w:cs="Arial"/>
                <w:b/>
                <w:bCs/>
                <w:sz w:val="16"/>
                <w:szCs w:val="16"/>
              </w:rPr>
              <w:t>41.669,40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348F4" w14:textId="77777777" w:rsidR="004565FC" w:rsidRDefault="004565FC" w:rsidP="004565FC">
            <w:pPr>
              <w:spacing w:after="0"/>
              <w:jc w:val="right"/>
              <w:rPr>
                <w:rFonts w:eastAsia="Times New Roman"/>
              </w:rPr>
            </w:pPr>
            <w:r>
              <w:rPr>
                <w:rFonts w:ascii="Arial" w:eastAsia="Times New Roman" w:hAnsi="Arial" w:cs="Arial"/>
                <w:b/>
                <w:bCs/>
                <w:sz w:val="16"/>
                <w:szCs w:val="16"/>
              </w:rPr>
              <w:t>(39.593,70)</w:t>
            </w:r>
          </w:p>
        </w:tc>
      </w:tr>
    </w:tbl>
    <w:p w14:paraId="3CF27CD6" w14:textId="51F1C5E9" w:rsidR="00FE0C5A" w:rsidRDefault="004565FC">
      <w:pPr>
        <w:pStyle w:val="NormalWeb"/>
      </w:pPr>
      <w:r>
        <w:rPr>
          <w:rFonts w:ascii="Arial" w:hAnsi="Arial" w:cs="Arial"/>
          <w:b/>
          <w:bCs/>
          <w:sz w:val="20"/>
          <w:szCs w:val="20"/>
        </w:rPr>
        <w:t>3</w:t>
      </w:r>
      <w:r w:rsidR="00663642">
        <w:rPr>
          <w:rFonts w:ascii="Arial" w:hAnsi="Arial" w:cs="Arial"/>
          <w:b/>
          <w:bCs/>
          <w:sz w:val="20"/>
          <w:szCs w:val="20"/>
        </w:rPr>
        <w:t>2</w:t>
      </w:r>
      <w:r>
        <w:rPr>
          <w:rFonts w:ascii="Arial" w:hAnsi="Arial" w:cs="Arial"/>
          <w:b/>
          <w:bCs/>
          <w:sz w:val="20"/>
          <w:szCs w:val="20"/>
        </w:rPr>
        <w:t xml:space="preserve">. Resultado Não Recorrente </w:t>
      </w:r>
    </w:p>
    <w:p w14:paraId="3DABE3BA" w14:textId="77777777" w:rsidR="00FE0C5A" w:rsidRDefault="000C18DB">
      <w:pPr>
        <w:pStyle w:val="NormalWeb"/>
        <w:jc w:val="both"/>
      </w:pPr>
      <w:r>
        <w:rPr>
          <w:rFonts w:ascii="Arial" w:hAnsi="Arial" w:cs="Arial"/>
          <w:sz w:val="20"/>
          <w:szCs w:val="20"/>
        </w:rPr>
        <w:t xml:space="preserve">Com base na aplicação da premissa contábil adotada, conforme a definição da Resolução BCB nº 2/2020, e nos critérios internos </w:t>
      </w:r>
      <w:r>
        <w:rPr>
          <w:rFonts w:ascii="Arial" w:hAnsi="Arial" w:cs="Arial"/>
          <w:sz w:val="20"/>
          <w:szCs w:val="20"/>
        </w:rPr>
        <w:t>complementares a este normativo, não houve registros referentes a resultados não recorrentes nos períodos de 31 de dezembro de 2023 e 2022.</w:t>
      </w:r>
    </w:p>
    <w:p w14:paraId="05C573C8" w14:textId="65294CF2" w:rsidR="00FE0C5A" w:rsidRDefault="004565FC">
      <w:pPr>
        <w:pStyle w:val="NormalWeb"/>
      </w:pPr>
      <w:r>
        <w:rPr>
          <w:rFonts w:ascii="Arial" w:hAnsi="Arial" w:cs="Arial"/>
          <w:b/>
          <w:bCs/>
          <w:sz w:val="20"/>
          <w:szCs w:val="20"/>
        </w:rPr>
        <w:t>3</w:t>
      </w:r>
      <w:r w:rsidR="00663642">
        <w:rPr>
          <w:rFonts w:ascii="Arial" w:hAnsi="Arial" w:cs="Arial"/>
          <w:b/>
          <w:bCs/>
          <w:sz w:val="20"/>
          <w:szCs w:val="20"/>
        </w:rPr>
        <w:t>3</w:t>
      </w:r>
      <w:r>
        <w:rPr>
          <w:rFonts w:ascii="Arial" w:hAnsi="Arial" w:cs="Arial"/>
          <w:b/>
          <w:bCs/>
          <w:sz w:val="20"/>
          <w:szCs w:val="20"/>
        </w:rPr>
        <w:t>. Partes Relacionadas</w:t>
      </w:r>
    </w:p>
    <w:p w14:paraId="02F77190" w14:textId="77777777" w:rsidR="00FE0C5A" w:rsidRDefault="000C18DB">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69CC53BD" w14:textId="692AA0FE" w:rsidR="00FE0C5A" w:rsidRDefault="004565FC">
      <w:pPr>
        <w:pStyle w:val="NormalWeb"/>
        <w:jc w:val="both"/>
      </w:pPr>
      <w:r>
        <w:rPr>
          <w:rFonts w:ascii="Arial" w:hAnsi="Arial" w:cs="Arial"/>
          <w:b/>
          <w:bCs/>
          <w:sz w:val="20"/>
          <w:szCs w:val="20"/>
        </w:rPr>
        <w:t>3</w:t>
      </w:r>
      <w:r w:rsidR="00663642">
        <w:rPr>
          <w:rFonts w:ascii="Arial" w:hAnsi="Arial" w:cs="Arial"/>
          <w:b/>
          <w:bCs/>
          <w:sz w:val="20"/>
          <w:szCs w:val="20"/>
        </w:rPr>
        <w:t>3</w:t>
      </w:r>
      <w:r>
        <w:rPr>
          <w:rFonts w:ascii="Arial" w:hAnsi="Arial" w:cs="Arial"/>
          <w:b/>
          <w:bCs/>
          <w:sz w:val="20"/>
          <w:szCs w:val="20"/>
        </w:rPr>
        <w:t>.1 Transações com Partes Relacionadas e Remuneração de Pessoal Chave da Administração</w:t>
      </w:r>
    </w:p>
    <w:p w14:paraId="5EB55CDE" w14:textId="77777777" w:rsidR="00FE0C5A" w:rsidRDefault="000C18DB">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6EB88E02" w14:textId="77777777" w:rsidR="00FE0C5A" w:rsidRDefault="000C18DB">
      <w:pPr>
        <w:pStyle w:val="NormalWeb"/>
        <w:jc w:val="both"/>
      </w:pPr>
      <w:r>
        <w:rPr>
          <w:rFonts w:ascii="Arial" w:hAnsi="Arial" w:cs="Arial"/>
          <w:sz w:val="20"/>
          <w:szCs w:val="20"/>
        </w:rPr>
        <w:t>As garantias oferecidas em razão das operações de crédito são: avais, garantias hipotecárias, caução e alienação fiduciária.</w:t>
      </w:r>
    </w:p>
    <w:p w14:paraId="392CC901" w14:textId="77777777" w:rsidR="00FE0C5A" w:rsidRDefault="000C18DB">
      <w:pPr>
        <w:pStyle w:val="NormalWeb"/>
        <w:jc w:val="both"/>
      </w:pPr>
      <w:r>
        <w:rPr>
          <w:rFonts w:ascii="Arial" w:hAnsi="Arial" w:cs="Arial"/>
          <w:sz w:val="20"/>
          <w:szCs w:val="20"/>
        </w:rPr>
        <w:t>a) Montante das operações ativas liberadas e de operações passivas captadas no exercício de 2023:</w:t>
      </w:r>
    </w:p>
    <w:tbl>
      <w:tblPr>
        <w:tblW w:w="5000" w:type="pct"/>
        <w:tblCellMar>
          <w:left w:w="0" w:type="dxa"/>
          <w:right w:w="0" w:type="dxa"/>
        </w:tblCellMar>
        <w:tblLook w:val="04A0" w:firstRow="1" w:lastRow="0" w:firstColumn="1" w:lastColumn="0" w:noHBand="0" w:noVBand="1"/>
      </w:tblPr>
      <w:tblGrid>
        <w:gridCol w:w="3850"/>
        <w:gridCol w:w="1256"/>
        <w:gridCol w:w="3027"/>
        <w:gridCol w:w="1855"/>
      </w:tblGrid>
      <w:tr w:rsidR="00FE0C5A" w14:paraId="1ABF3D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2802F5" w14:textId="77777777" w:rsidR="00FE0C5A" w:rsidRDefault="000C18DB" w:rsidP="00F113BD">
            <w:pPr>
              <w:spacing w:after="0"/>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63171" w14:textId="77777777" w:rsidR="00FE0C5A" w:rsidRDefault="000C18DB" w:rsidP="00F113BD">
            <w:pPr>
              <w:spacing w:after="0"/>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39DFC" w14:textId="77777777" w:rsidR="00FE0C5A" w:rsidRDefault="000C18DB" w:rsidP="00F113BD">
            <w:pPr>
              <w:spacing w:after="0"/>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08F89" w14:textId="77777777" w:rsidR="00FE0C5A" w:rsidRDefault="000C18DB" w:rsidP="00F113BD">
            <w:pPr>
              <w:spacing w:after="0"/>
              <w:jc w:val="center"/>
              <w:rPr>
                <w:rFonts w:eastAsia="Times New Roman"/>
              </w:rPr>
            </w:pPr>
            <w:r>
              <w:rPr>
                <w:rFonts w:ascii="Arial" w:eastAsia="Times New Roman" w:hAnsi="Arial" w:cs="Arial"/>
                <w:b/>
                <w:bCs/>
                <w:sz w:val="16"/>
                <w:szCs w:val="16"/>
              </w:rPr>
              <w:t>Provisão de Risco</w:t>
            </w:r>
          </w:p>
        </w:tc>
      </w:tr>
      <w:tr w:rsidR="00FE0C5A" w14:paraId="7339D4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971EF4" w14:textId="77777777" w:rsidR="00FE0C5A" w:rsidRDefault="000C18DB" w:rsidP="00F113BD">
            <w:pPr>
              <w:spacing w:after="0"/>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B45B2" w14:textId="77777777" w:rsidR="00FE0C5A" w:rsidRDefault="000C18DB" w:rsidP="00F113BD">
            <w:pPr>
              <w:spacing w:after="0"/>
              <w:jc w:val="right"/>
              <w:rPr>
                <w:rFonts w:eastAsia="Times New Roman"/>
              </w:rPr>
            </w:pPr>
            <w:r>
              <w:rPr>
                <w:rFonts w:ascii="Arial" w:eastAsia="Times New Roman" w:hAnsi="Arial" w:cs="Arial"/>
                <w:sz w:val="16"/>
                <w:szCs w:val="16"/>
              </w:rPr>
              <w:t>2.933.600,07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62FA" w14:textId="77777777" w:rsidR="00FE0C5A" w:rsidRDefault="000C18DB" w:rsidP="00F113BD">
            <w:pPr>
              <w:spacing w:after="0"/>
              <w:jc w:val="right"/>
              <w:rPr>
                <w:rFonts w:eastAsia="Times New Roman"/>
              </w:rPr>
            </w:pPr>
            <w:r>
              <w:rPr>
                <w:rFonts w:ascii="Arial" w:eastAsia="Times New Roman" w:hAnsi="Arial" w:cs="Arial"/>
                <w:sz w:val="16"/>
                <w:szCs w:val="16"/>
              </w:rPr>
              <w:t>1,7859%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AFC31" w14:textId="77777777" w:rsidR="00FE0C5A" w:rsidRDefault="000C18DB" w:rsidP="00F113BD">
            <w:pPr>
              <w:spacing w:after="0"/>
              <w:jc w:val="right"/>
              <w:rPr>
                <w:rFonts w:eastAsia="Times New Roman"/>
              </w:rPr>
            </w:pPr>
            <w:r>
              <w:rPr>
                <w:rFonts w:ascii="Arial" w:eastAsia="Times New Roman" w:hAnsi="Arial" w:cs="Arial"/>
                <w:sz w:val="16"/>
                <w:szCs w:val="16"/>
              </w:rPr>
              <w:t>7.407,11</w:t>
            </w:r>
          </w:p>
        </w:tc>
      </w:tr>
      <w:tr w:rsidR="00FE0C5A" w14:paraId="632FE3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912732" w14:textId="77777777" w:rsidR="00FE0C5A" w:rsidRDefault="000C18DB" w:rsidP="00F113BD">
            <w:pPr>
              <w:spacing w:after="0"/>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9719F" w14:textId="77777777" w:rsidR="00FE0C5A" w:rsidRDefault="000C18DB" w:rsidP="00F113BD">
            <w:pPr>
              <w:spacing w:after="0"/>
              <w:jc w:val="right"/>
              <w:rPr>
                <w:rFonts w:eastAsia="Times New Roman"/>
              </w:rPr>
            </w:pPr>
            <w:r>
              <w:rPr>
                <w:rFonts w:ascii="Arial" w:eastAsia="Times New Roman" w:hAnsi="Arial" w:cs="Arial"/>
                <w:sz w:val="16"/>
                <w:szCs w:val="16"/>
              </w:rPr>
              <w:t>602.099,18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8AD0B" w14:textId="77777777" w:rsidR="00FE0C5A" w:rsidRDefault="000C18DB" w:rsidP="00F113BD">
            <w:pPr>
              <w:spacing w:after="0"/>
              <w:jc w:val="right"/>
              <w:rPr>
                <w:rFonts w:eastAsia="Times New Roman"/>
              </w:rPr>
            </w:pPr>
            <w:r>
              <w:rPr>
                <w:rFonts w:ascii="Arial" w:eastAsia="Times New Roman" w:hAnsi="Arial" w:cs="Arial"/>
                <w:sz w:val="16"/>
                <w:szCs w:val="16"/>
              </w:rPr>
              <w:t>0,3665%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32F07" w14:textId="77777777" w:rsidR="00FE0C5A" w:rsidRDefault="000C18DB" w:rsidP="00F113BD">
            <w:pPr>
              <w:spacing w:after="0"/>
              <w:jc w:val="right"/>
              <w:rPr>
                <w:rFonts w:eastAsia="Times New Roman"/>
              </w:rPr>
            </w:pPr>
            <w:r>
              <w:rPr>
                <w:rFonts w:ascii="Arial" w:eastAsia="Times New Roman" w:hAnsi="Arial" w:cs="Arial"/>
                <w:sz w:val="16"/>
                <w:szCs w:val="16"/>
              </w:rPr>
              <w:t>3.349,64</w:t>
            </w:r>
          </w:p>
        </w:tc>
      </w:tr>
      <w:tr w:rsidR="00FE0C5A" w14:paraId="0247BE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3A7BE8" w14:textId="77777777" w:rsidR="00FE0C5A" w:rsidRDefault="000C18DB" w:rsidP="00F113BD">
            <w:pPr>
              <w:spacing w:after="0"/>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056A3" w14:textId="77777777" w:rsidR="00FE0C5A" w:rsidRDefault="000C18DB" w:rsidP="00F113BD">
            <w:pPr>
              <w:spacing w:after="0"/>
              <w:jc w:val="right"/>
              <w:rPr>
                <w:rFonts w:eastAsia="Times New Roman"/>
              </w:rPr>
            </w:pPr>
            <w:r>
              <w:rPr>
                <w:rFonts w:ascii="Arial" w:eastAsia="Times New Roman" w:hAnsi="Arial" w:cs="Arial"/>
                <w:b/>
                <w:bCs/>
                <w:sz w:val="16"/>
                <w:szCs w:val="16"/>
              </w:rPr>
              <w:t>3.535.699,25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87F83" w14:textId="77777777" w:rsidR="00FE0C5A" w:rsidRDefault="000C18DB" w:rsidP="00F113BD">
            <w:pPr>
              <w:spacing w:after="0"/>
              <w:jc w:val="right"/>
              <w:rPr>
                <w:rFonts w:eastAsia="Times New Roman"/>
              </w:rPr>
            </w:pPr>
            <w:r>
              <w:rPr>
                <w:rFonts w:ascii="Arial" w:eastAsia="Times New Roman" w:hAnsi="Arial" w:cs="Arial"/>
                <w:sz w:val="16"/>
                <w:szCs w:val="16"/>
              </w:rPr>
              <w:t>2,1524%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08553" w14:textId="77777777" w:rsidR="00FE0C5A" w:rsidRDefault="000C18DB" w:rsidP="00F113BD">
            <w:pPr>
              <w:spacing w:after="0"/>
              <w:jc w:val="right"/>
              <w:rPr>
                <w:rFonts w:eastAsia="Times New Roman"/>
              </w:rPr>
            </w:pPr>
            <w:r>
              <w:rPr>
                <w:rFonts w:ascii="Arial" w:eastAsia="Times New Roman" w:hAnsi="Arial" w:cs="Arial"/>
                <w:b/>
                <w:bCs/>
                <w:sz w:val="16"/>
                <w:szCs w:val="16"/>
              </w:rPr>
              <w:t>10.756,75</w:t>
            </w:r>
          </w:p>
        </w:tc>
      </w:tr>
      <w:tr w:rsidR="00FE0C5A" w14:paraId="6AEC41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7595F2" w14:textId="77777777" w:rsidR="00FE0C5A" w:rsidRDefault="000C18DB" w:rsidP="00F113BD">
            <w:pPr>
              <w:spacing w:after="0"/>
              <w:rPr>
                <w:rFonts w:eastAsia="Times New Roman"/>
              </w:rPr>
            </w:pPr>
            <w:r>
              <w:rPr>
                <w:rFonts w:ascii="Arial" w:eastAsia="Times New Roman" w:hAnsi="Arial" w:cs="Arial"/>
                <w:b/>
                <w:bCs/>
                <w:sz w:val="16"/>
                <w:szCs w:val="16"/>
              </w:rPr>
              <w:lastRenderedPageBreak/>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62FB2" w14:textId="77777777" w:rsidR="00FE0C5A" w:rsidRDefault="000C18DB" w:rsidP="00F113BD">
            <w:pPr>
              <w:spacing w:after="0"/>
              <w:jc w:val="right"/>
              <w:rPr>
                <w:rFonts w:eastAsia="Times New Roman"/>
              </w:rPr>
            </w:pPr>
            <w:r>
              <w:rPr>
                <w:rFonts w:ascii="Arial" w:eastAsia="Times New Roman" w:hAnsi="Arial" w:cs="Arial"/>
                <w:sz w:val="16"/>
                <w:szCs w:val="16"/>
              </w:rPr>
              <w:t>1.760.695,57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094C9" w14:textId="77777777" w:rsidR="00FE0C5A" w:rsidRDefault="000C18DB" w:rsidP="00F113BD">
            <w:pPr>
              <w:spacing w:after="0"/>
              <w:jc w:val="right"/>
              <w:rPr>
                <w:rFonts w:eastAsia="Times New Roman"/>
              </w:rPr>
            </w:pPr>
            <w:r>
              <w:rPr>
                <w:rFonts w:ascii="Arial" w:eastAsia="Times New Roman" w:hAnsi="Arial" w:cs="Arial"/>
                <w:sz w:val="16"/>
                <w:szCs w:val="16"/>
              </w:rPr>
              <w:t>1,5528%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8A3AE" w14:textId="77777777" w:rsidR="00FE0C5A" w:rsidRDefault="00FE0C5A" w:rsidP="00F113BD">
            <w:pPr>
              <w:spacing w:after="0"/>
              <w:jc w:val="right"/>
              <w:rPr>
                <w:rFonts w:eastAsia="Times New Roman"/>
              </w:rPr>
            </w:pPr>
          </w:p>
        </w:tc>
      </w:tr>
    </w:tbl>
    <w:p w14:paraId="04884680" w14:textId="77777777" w:rsidR="00FE0C5A" w:rsidRDefault="000C18DB">
      <w:pPr>
        <w:rPr>
          <w:b/>
          <w:bCs/>
        </w:rPr>
      </w:pPr>
      <w:r>
        <w:rPr>
          <w:b/>
          <w:bCs/>
        </w:rPr>
        <w:t> </w:t>
      </w:r>
    </w:p>
    <w:tbl>
      <w:tblPr>
        <w:tblW w:w="5000" w:type="pct"/>
        <w:tblCellMar>
          <w:left w:w="0" w:type="dxa"/>
          <w:right w:w="0" w:type="dxa"/>
        </w:tblCellMar>
        <w:tblLook w:val="04A0" w:firstRow="1" w:lastRow="0" w:firstColumn="1" w:lastColumn="0" w:noHBand="0" w:noVBand="1"/>
      </w:tblPr>
      <w:tblGrid>
        <w:gridCol w:w="8339"/>
        <w:gridCol w:w="1649"/>
      </w:tblGrid>
      <w:tr w:rsidR="00FE0C5A" w14:paraId="149809FB"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054795"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PERCENTUAL EM RELAÇÃO À </w:t>
            </w:r>
            <w:r>
              <w:rPr>
                <w:rFonts w:ascii="Arial" w:eastAsia="Times New Roman" w:hAnsi="Arial" w:cs="Arial"/>
                <w:b/>
                <w:bCs/>
                <w:sz w:val="16"/>
                <w:szCs w:val="16"/>
              </w:rPr>
              <w:t>CARTEIRA GERAL MOVIMENTAÇÃO NO EXERCÍCIO DE 31/12/2023</w:t>
            </w:r>
          </w:p>
        </w:tc>
      </w:tr>
      <w:tr w:rsidR="00FE0C5A" w14:paraId="1546CA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C3968F" w14:textId="77777777" w:rsidR="00FE0C5A" w:rsidRDefault="000C18DB" w:rsidP="00F113BD">
            <w:pPr>
              <w:spacing w:after="0"/>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3C484" w14:textId="7987224D" w:rsidR="00FE0C5A" w:rsidRDefault="000C18DB" w:rsidP="00F113BD">
            <w:pPr>
              <w:spacing w:after="0"/>
              <w:jc w:val="right"/>
              <w:rPr>
                <w:rFonts w:eastAsia="Times New Roman"/>
              </w:rPr>
            </w:pPr>
            <w:r>
              <w:rPr>
                <w:rFonts w:ascii="Arial" w:eastAsia="Times New Roman" w:hAnsi="Arial" w:cs="Arial"/>
                <w:sz w:val="16"/>
                <w:szCs w:val="16"/>
              </w:rPr>
              <w:t>0,770</w:t>
            </w:r>
            <w:r w:rsidR="00663642">
              <w:rPr>
                <w:rFonts w:ascii="Arial" w:eastAsia="Times New Roman" w:hAnsi="Arial" w:cs="Arial"/>
                <w:sz w:val="16"/>
                <w:szCs w:val="16"/>
              </w:rPr>
              <w:t>7</w:t>
            </w:r>
            <w:r>
              <w:rPr>
                <w:rFonts w:ascii="Arial" w:eastAsia="Times New Roman" w:hAnsi="Arial" w:cs="Arial"/>
                <w:sz w:val="16"/>
                <w:szCs w:val="16"/>
              </w:rPr>
              <w:t>%</w:t>
            </w:r>
          </w:p>
        </w:tc>
      </w:tr>
      <w:tr w:rsidR="00FE0C5A" w14:paraId="55FEC1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C9F255" w14:textId="77777777" w:rsidR="00FE0C5A" w:rsidRDefault="000C18DB" w:rsidP="00F113BD">
            <w:pPr>
              <w:spacing w:after="0"/>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29518" w14:textId="77777777" w:rsidR="00FE0C5A" w:rsidRDefault="000C18DB" w:rsidP="00F113BD">
            <w:pPr>
              <w:spacing w:after="0"/>
              <w:jc w:val="right"/>
              <w:rPr>
                <w:rFonts w:eastAsia="Times New Roman"/>
              </w:rPr>
            </w:pPr>
            <w:r>
              <w:rPr>
                <w:rFonts w:ascii="Arial" w:eastAsia="Times New Roman" w:hAnsi="Arial" w:cs="Arial"/>
                <w:sz w:val="16"/>
                <w:szCs w:val="16"/>
              </w:rPr>
              <w:t>0,0251%</w:t>
            </w:r>
          </w:p>
        </w:tc>
      </w:tr>
      <w:tr w:rsidR="00FE0C5A" w14:paraId="75FB15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4BF7C1" w14:textId="77777777" w:rsidR="00FE0C5A" w:rsidRDefault="000C18DB" w:rsidP="00F113BD">
            <w:pPr>
              <w:spacing w:after="0"/>
              <w:rPr>
                <w:rFonts w:eastAsia="Times New Roman"/>
              </w:rPr>
            </w:pPr>
            <w:r>
              <w:rPr>
                <w:rFonts w:ascii="Arial" w:eastAsia="Times New Roman" w:hAnsi="Arial" w:cs="Arial"/>
                <w:sz w:val="16"/>
                <w:szCs w:val="16"/>
              </w:rPr>
              <w:t>Crédito Rural (modalidades)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C7616" w14:textId="77777777" w:rsidR="00FE0C5A" w:rsidRDefault="000C18DB" w:rsidP="00F113BD">
            <w:pPr>
              <w:spacing w:after="0"/>
              <w:jc w:val="right"/>
              <w:rPr>
                <w:rFonts w:eastAsia="Times New Roman"/>
              </w:rPr>
            </w:pPr>
            <w:r>
              <w:rPr>
                <w:rFonts w:ascii="Arial" w:eastAsia="Times New Roman" w:hAnsi="Arial" w:cs="Arial"/>
                <w:sz w:val="16"/>
                <w:szCs w:val="16"/>
              </w:rPr>
              <w:t>1,3559%</w:t>
            </w:r>
          </w:p>
        </w:tc>
      </w:tr>
      <w:tr w:rsidR="00FE0C5A" w14:paraId="5A31C5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63F64E" w14:textId="77777777" w:rsidR="00FE0C5A" w:rsidRDefault="000C18DB" w:rsidP="00F113BD">
            <w:pPr>
              <w:spacing w:after="0"/>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CF2F6" w14:textId="77777777" w:rsidR="00FE0C5A" w:rsidRDefault="000C18DB" w:rsidP="00F113BD">
            <w:pPr>
              <w:spacing w:after="0"/>
              <w:jc w:val="right"/>
              <w:rPr>
                <w:rFonts w:eastAsia="Times New Roman"/>
              </w:rPr>
            </w:pPr>
            <w:r>
              <w:rPr>
                <w:rFonts w:ascii="Arial" w:eastAsia="Times New Roman" w:hAnsi="Arial" w:cs="Arial"/>
                <w:sz w:val="16"/>
                <w:szCs w:val="16"/>
              </w:rPr>
              <w:t>3,4277%</w:t>
            </w:r>
          </w:p>
        </w:tc>
      </w:tr>
    </w:tbl>
    <w:p w14:paraId="293509AE" w14:textId="77777777" w:rsidR="00FE0C5A" w:rsidRDefault="000C18DB">
      <w:pPr>
        <w:pStyle w:val="NormalWeb"/>
        <w:jc w:val="both"/>
      </w:pPr>
      <w:r>
        <w:rPr>
          <w:rFonts w:ascii="Arial" w:hAnsi="Arial" w:cs="Arial"/>
          <w:sz w:val="20"/>
          <w:szCs w:val="20"/>
        </w:rPr>
        <w:t xml:space="preserve">b) Montante total das operações </w:t>
      </w:r>
      <w:r>
        <w:rPr>
          <w:rFonts w:ascii="Arial" w:hAnsi="Arial" w:cs="Arial"/>
          <w:sz w:val="20"/>
          <w:szCs w:val="20"/>
        </w:rPr>
        <w:t>ativas e passivas atualizados em 31 de dezembro de 2023:</w:t>
      </w:r>
    </w:p>
    <w:tbl>
      <w:tblPr>
        <w:tblW w:w="5000" w:type="pct"/>
        <w:tblCellMar>
          <w:left w:w="0" w:type="dxa"/>
          <w:right w:w="0" w:type="dxa"/>
        </w:tblCellMar>
        <w:tblLook w:val="04A0" w:firstRow="1" w:lastRow="0" w:firstColumn="1" w:lastColumn="0" w:noHBand="0" w:noVBand="1"/>
      </w:tblPr>
      <w:tblGrid>
        <w:gridCol w:w="2080"/>
        <w:gridCol w:w="1825"/>
        <w:gridCol w:w="3063"/>
        <w:gridCol w:w="3020"/>
      </w:tblGrid>
      <w:tr w:rsidR="00FE0C5A" w14:paraId="2364B7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11B92" w14:textId="77777777" w:rsidR="00FE0C5A" w:rsidRDefault="000C18DB" w:rsidP="00F113BD">
            <w:pPr>
              <w:spacing w:after="0"/>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B9530" w14:textId="77777777" w:rsidR="00FE0C5A" w:rsidRDefault="000C18DB" w:rsidP="00F113BD">
            <w:pPr>
              <w:spacing w:after="0"/>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75B07" w14:textId="77777777" w:rsidR="00FE0C5A" w:rsidRDefault="000C18DB" w:rsidP="00F113BD">
            <w:pPr>
              <w:spacing w:after="0"/>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C20D8" w14:textId="77777777" w:rsidR="00FE0C5A" w:rsidRDefault="000C18DB" w:rsidP="00F113BD">
            <w:pPr>
              <w:spacing w:after="0"/>
              <w:jc w:val="center"/>
              <w:rPr>
                <w:rFonts w:eastAsia="Times New Roman"/>
              </w:rPr>
            </w:pPr>
            <w:r>
              <w:rPr>
                <w:rFonts w:ascii="Arial" w:eastAsia="Times New Roman" w:hAnsi="Arial" w:cs="Arial"/>
                <w:b/>
                <w:bCs/>
                <w:sz w:val="16"/>
                <w:szCs w:val="16"/>
              </w:rPr>
              <w:t>% da Operação de Crédito em Relação à Carteira Total</w:t>
            </w:r>
          </w:p>
        </w:tc>
      </w:tr>
      <w:tr w:rsidR="00FE0C5A" w14:paraId="4A0849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DA5946" w14:textId="77777777" w:rsidR="00FE0C5A" w:rsidRDefault="000C18DB" w:rsidP="00F113BD">
            <w:pPr>
              <w:spacing w:after="0"/>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FCD02" w14:textId="77777777" w:rsidR="00FE0C5A" w:rsidRDefault="000C18DB" w:rsidP="00F113BD">
            <w:pPr>
              <w:spacing w:after="0"/>
              <w:jc w:val="right"/>
              <w:rPr>
                <w:rFonts w:eastAsia="Times New Roman"/>
              </w:rPr>
            </w:pPr>
            <w:r>
              <w:rPr>
                <w:rFonts w:ascii="Arial" w:eastAsia="Times New Roman" w:hAnsi="Arial" w:cs="Arial"/>
                <w:sz w:val="16"/>
                <w:szCs w:val="16"/>
              </w:rPr>
              <w:t>275,88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8CC3A" w14:textId="77777777" w:rsidR="00FE0C5A" w:rsidRDefault="000C18DB" w:rsidP="00F113BD">
            <w:pPr>
              <w:spacing w:after="0"/>
              <w:jc w:val="right"/>
              <w:rPr>
                <w:rFonts w:eastAsia="Times New Roman"/>
              </w:rPr>
            </w:pPr>
            <w:r>
              <w:rPr>
                <w:rFonts w:ascii="Arial" w:eastAsia="Times New Roman" w:hAnsi="Arial" w:cs="Arial"/>
                <w:sz w:val="16"/>
                <w:szCs w:val="16"/>
              </w:rPr>
              <w:t>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F8259" w14:textId="77777777" w:rsidR="00FE0C5A" w:rsidRDefault="000C18DB" w:rsidP="00F113BD">
            <w:pPr>
              <w:spacing w:after="0"/>
              <w:jc w:val="right"/>
              <w:rPr>
                <w:rFonts w:eastAsia="Times New Roman"/>
              </w:rPr>
            </w:pPr>
            <w:r>
              <w:rPr>
                <w:rFonts w:ascii="Arial" w:eastAsia="Times New Roman" w:hAnsi="Arial" w:cs="Arial"/>
                <w:sz w:val="16"/>
                <w:szCs w:val="16"/>
              </w:rPr>
              <w:t>0,0126%</w:t>
            </w:r>
          </w:p>
        </w:tc>
      </w:tr>
      <w:tr w:rsidR="00FE0C5A" w14:paraId="547665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F5C42C" w14:textId="77777777" w:rsidR="00FE0C5A" w:rsidRDefault="000C18DB" w:rsidP="00F113BD">
            <w:pPr>
              <w:spacing w:after="0"/>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3A334" w14:textId="77777777" w:rsidR="00FE0C5A" w:rsidRDefault="000C18DB" w:rsidP="00F113BD">
            <w:pPr>
              <w:spacing w:after="0"/>
              <w:jc w:val="right"/>
              <w:rPr>
                <w:rFonts w:eastAsia="Times New Roman"/>
              </w:rPr>
            </w:pPr>
            <w:r>
              <w:rPr>
                <w:rFonts w:ascii="Arial" w:eastAsia="Times New Roman" w:hAnsi="Arial" w:cs="Arial"/>
                <w:sz w:val="16"/>
                <w:szCs w:val="16"/>
              </w:rPr>
              <w:t>69.203,22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8C5DA" w14:textId="77777777" w:rsidR="00FE0C5A" w:rsidRDefault="000C18DB" w:rsidP="00F113BD">
            <w:pPr>
              <w:spacing w:after="0"/>
              <w:jc w:val="right"/>
              <w:rPr>
                <w:rFonts w:eastAsia="Times New Roman"/>
              </w:rPr>
            </w:pPr>
            <w:r>
              <w:rPr>
                <w:rFonts w:ascii="Arial" w:eastAsia="Times New Roman" w:hAnsi="Arial" w:cs="Arial"/>
                <w:sz w:val="16"/>
                <w:szCs w:val="16"/>
              </w:rPr>
              <w:t>2.073,47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B0C5F" w14:textId="77777777" w:rsidR="00FE0C5A" w:rsidRDefault="000C18DB" w:rsidP="00F113BD">
            <w:pPr>
              <w:spacing w:after="0"/>
              <w:jc w:val="right"/>
              <w:rPr>
                <w:rFonts w:eastAsia="Times New Roman"/>
              </w:rPr>
            </w:pPr>
            <w:r>
              <w:rPr>
                <w:rFonts w:ascii="Arial" w:eastAsia="Times New Roman" w:hAnsi="Arial" w:cs="Arial"/>
                <w:sz w:val="16"/>
                <w:szCs w:val="16"/>
              </w:rPr>
              <w:t>2,8445%</w:t>
            </w:r>
          </w:p>
        </w:tc>
      </w:tr>
      <w:tr w:rsidR="00FE0C5A" w14:paraId="0F7887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10EF42" w14:textId="77777777" w:rsidR="00FE0C5A" w:rsidRDefault="000C18DB" w:rsidP="00F113BD">
            <w:pPr>
              <w:spacing w:after="0"/>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790E3" w14:textId="77777777" w:rsidR="00FE0C5A" w:rsidRDefault="000C18DB" w:rsidP="00F113BD">
            <w:pPr>
              <w:spacing w:after="0"/>
              <w:jc w:val="right"/>
              <w:rPr>
                <w:rFonts w:eastAsia="Times New Roman"/>
              </w:rPr>
            </w:pPr>
            <w:r>
              <w:rPr>
                <w:rFonts w:ascii="Arial" w:eastAsia="Times New Roman" w:hAnsi="Arial" w:cs="Arial"/>
                <w:sz w:val="16"/>
                <w:szCs w:val="16"/>
              </w:rPr>
              <w:t>1.983.374,17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E5378" w14:textId="77777777" w:rsidR="00FE0C5A" w:rsidRDefault="000C18DB" w:rsidP="00F113BD">
            <w:pPr>
              <w:spacing w:after="0"/>
              <w:jc w:val="right"/>
              <w:rPr>
                <w:rFonts w:eastAsia="Times New Roman"/>
              </w:rPr>
            </w:pPr>
            <w:r>
              <w:rPr>
                <w:rFonts w:ascii="Arial" w:eastAsia="Times New Roman" w:hAnsi="Arial" w:cs="Arial"/>
                <w:sz w:val="16"/>
                <w:szCs w:val="16"/>
              </w:rPr>
              <w:t>2.844,42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4F7F1" w14:textId="77777777" w:rsidR="00FE0C5A" w:rsidRDefault="000C18DB" w:rsidP="00F113BD">
            <w:pPr>
              <w:spacing w:after="0"/>
              <w:jc w:val="right"/>
              <w:rPr>
                <w:rFonts w:eastAsia="Times New Roman"/>
              </w:rPr>
            </w:pPr>
            <w:r>
              <w:rPr>
                <w:rFonts w:ascii="Arial" w:eastAsia="Times New Roman" w:hAnsi="Arial" w:cs="Arial"/>
                <w:sz w:val="16"/>
                <w:szCs w:val="16"/>
              </w:rPr>
              <w:t>2,2780%</w:t>
            </w:r>
          </w:p>
        </w:tc>
      </w:tr>
      <w:tr w:rsidR="00FE0C5A" w14:paraId="0BC7D5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FCE197" w14:textId="77777777" w:rsidR="00FE0C5A" w:rsidRDefault="000C18DB" w:rsidP="00F113BD">
            <w:pPr>
              <w:spacing w:after="0"/>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7159B" w14:textId="77777777" w:rsidR="00FE0C5A" w:rsidRDefault="000C18DB" w:rsidP="00F113BD">
            <w:pPr>
              <w:spacing w:after="0"/>
              <w:jc w:val="right"/>
              <w:rPr>
                <w:rFonts w:eastAsia="Times New Roman"/>
              </w:rPr>
            </w:pPr>
            <w:r>
              <w:rPr>
                <w:rFonts w:ascii="Arial" w:eastAsia="Times New Roman" w:hAnsi="Arial" w:cs="Arial"/>
                <w:sz w:val="16"/>
                <w:szCs w:val="16"/>
              </w:rPr>
              <w:t>541.810,71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4942E" w14:textId="77777777" w:rsidR="00FE0C5A" w:rsidRDefault="000C18DB" w:rsidP="00F113BD">
            <w:pPr>
              <w:spacing w:after="0"/>
              <w:jc w:val="right"/>
              <w:rPr>
                <w:rFonts w:eastAsia="Times New Roman"/>
              </w:rPr>
            </w:pPr>
            <w:r>
              <w:rPr>
                <w:rFonts w:ascii="Arial" w:eastAsia="Times New Roman" w:hAnsi="Arial" w:cs="Arial"/>
                <w:sz w:val="16"/>
                <w:szCs w:val="16"/>
              </w:rPr>
              <w:t>3.778,17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57D61" w14:textId="77777777" w:rsidR="00FE0C5A" w:rsidRDefault="000C18DB" w:rsidP="00F113BD">
            <w:pPr>
              <w:spacing w:after="0"/>
              <w:jc w:val="right"/>
              <w:rPr>
                <w:rFonts w:eastAsia="Times New Roman"/>
              </w:rPr>
            </w:pPr>
            <w:r>
              <w:rPr>
                <w:rFonts w:ascii="Arial" w:eastAsia="Times New Roman" w:hAnsi="Arial" w:cs="Arial"/>
                <w:sz w:val="16"/>
                <w:szCs w:val="16"/>
              </w:rPr>
              <w:t>1,0328%</w:t>
            </w:r>
          </w:p>
        </w:tc>
      </w:tr>
      <w:tr w:rsidR="00FE0C5A" w14:paraId="135964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629C34" w14:textId="77777777" w:rsidR="00FE0C5A" w:rsidRDefault="000C18DB" w:rsidP="00F113BD">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F323C" w14:textId="77777777" w:rsidR="00FE0C5A" w:rsidRDefault="000C18DB" w:rsidP="00F113BD">
            <w:pPr>
              <w:spacing w:after="0"/>
              <w:jc w:val="right"/>
              <w:rPr>
                <w:rFonts w:eastAsia="Times New Roman"/>
              </w:rPr>
            </w:pPr>
            <w:r>
              <w:rPr>
                <w:rFonts w:ascii="Arial" w:eastAsia="Times New Roman" w:hAnsi="Arial" w:cs="Arial"/>
                <w:sz w:val="16"/>
                <w:szCs w:val="16"/>
              </w:rPr>
              <w:t>236.188,23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6FC3D" w14:textId="77777777" w:rsidR="00FE0C5A" w:rsidRDefault="000C18DB" w:rsidP="00F113BD">
            <w:pPr>
              <w:spacing w:after="0"/>
              <w:jc w:val="right"/>
              <w:rPr>
                <w:rFonts w:eastAsia="Times New Roman"/>
              </w:rPr>
            </w:pPr>
            <w:r>
              <w:rPr>
                <w:rFonts w:ascii="Arial" w:eastAsia="Times New Roman" w:hAnsi="Arial" w:cs="Arial"/>
                <w:sz w:val="16"/>
                <w:szCs w:val="16"/>
              </w:rPr>
              <w:t>7.085,65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7A532" w14:textId="77777777" w:rsidR="00FE0C5A" w:rsidRDefault="000C18DB" w:rsidP="00F113BD">
            <w:pPr>
              <w:spacing w:after="0"/>
              <w:jc w:val="right"/>
              <w:rPr>
                <w:rFonts w:eastAsia="Times New Roman"/>
              </w:rPr>
            </w:pPr>
            <w:r>
              <w:rPr>
                <w:rFonts w:ascii="Arial" w:eastAsia="Times New Roman" w:hAnsi="Arial" w:cs="Arial"/>
                <w:sz w:val="16"/>
                <w:szCs w:val="16"/>
              </w:rPr>
              <w:t>1,9182%</w:t>
            </w:r>
          </w:p>
        </w:tc>
      </w:tr>
    </w:tbl>
    <w:p w14:paraId="677A0D42" w14:textId="77777777" w:rsidR="00FE0C5A" w:rsidRDefault="000C18DB">
      <w:pPr>
        <w:rPr>
          <w:b/>
          <w:bCs/>
        </w:rPr>
      </w:pPr>
      <w:r>
        <w:rPr>
          <w:b/>
          <w:bCs/>
        </w:rPr>
        <w:t> </w:t>
      </w:r>
    </w:p>
    <w:tbl>
      <w:tblPr>
        <w:tblW w:w="5000" w:type="pct"/>
        <w:tblCellMar>
          <w:left w:w="0" w:type="dxa"/>
          <w:right w:w="0" w:type="dxa"/>
        </w:tblCellMar>
        <w:tblLook w:val="04A0" w:firstRow="1" w:lastRow="0" w:firstColumn="1" w:lastColumn="0" w:noHBand="0" w:noVBand="1"/>
      </w:tblPr>
      <w:tblGrid>
        <w:gridCol w:w="3457"/>
        <w:gridCol w:w="1866"/>
        <w:gridCol w:w="3104"/>
        <w:gridCol w:w="1561"/>
      </w:tblGrid>
      <w:tr w:rsidR="00FE0C5A" w14:paraId="00C4F5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5B8713" w14:textId="77777777" w:rsidR="00FE0C5A" w:rsidRDefault="000C18DB" w:rsidP="00F113BD">
            <w:pPr>
              <w:spacing w:after="0"/>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9C588" w14:textId="77777777" w:rsidR="00FE0C5A" w:rsidRDefault="000C18DB" w:rsidP="00F113BD">
            <w:pPr>
              <w:spacing w:after="0"/>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BE63F" w14:textId="77777777" w:rsidR="00FE0C5A" w:rsidRDefault="000C18DB" w:rsidP="00F113BD">
            <w:pPr>
              <w:spacing w:after="0"/>
              <w:jc w:val="center"/>
              <w:rPr>
                <w:rFonts w:eastAsia="Times New Roman"/>
              </w:rPr>
            </w:pPr>
            <w:r>
              <w:rPr>
                <w:rFonts w:ascii="Arial" w:eastAsia="Times New Roman" w:hAnsi="Arial" w:cs="Arial"/>
                <w:b/>
                <w:bCs/>
                <w:sz w:val="16"/>
                <w:szCs w:val="16"/>
              </w:rPr>
              <w:t xml:space="preserve">% em Relação </w:t>
            </w:r>
            <w:r>
              <w:rPr>
                <w:rFonts w:ascii="Arial" w:eastAsia="Times New Roman" w:hAnsi="Arial" w:cs="Arial"/>
                <w:b/>
                <w:bCs/>
                <w:sz w:val="16"/>
                <w:szCs w:val="16"/>
              </w:rPr>
              <w:t>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CD1AE" w14:textId="77777777" w:rsidR="00FE0C5A" w:rsidRDefault="000C18DB" w:rsidP="00F113BD">
            <w:pPr>
              <w:spacing w:after="0"/>
              <w:jc w:val="center"/>
              <w:rPr>
                <w:rFonts w:eastAsia="Times New Roman"/>
              </w:rPr>
            </w:pPr>
            <w:r>
              <w:rPr>
                <w:rFonts w:ascii="Arial" w:eastAsia="Times New Roman" w:hAnsi="Arial" w:cs="Arial"/>
                <w:b/>
                <w:bCs/>
                <w:sz w:val="16"/>
                <w:szCs w:val="16"/>
              </w:rPr>
              <w:t>Taxa Média - %</w:t>
            </w:r>
          </w:p>
        </w:tc>
      </w:tr>
      <w:tr w:rsidR="00FE0C5A" w14:paraId="7E9B91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072731" w14:textId="77777777" w:rsidR="00FE0C5A" w:rsidRDefault="000C18DB" w:rsidP="00F113BD">
            <w:pPr>
              <w:spacing w:after="0"/>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7542C" w14:textId="77777777" w:rsidR="00FE0C5A" w:rsidRDefault="000C18DB" w:rsidP="00F113BD">
            <w:pPr>
              <w:spacing w:after="0"/>
              <w:jc w:val="right"/>
              <w:rPr>
                <w:rFonts w:eastAsia="Times New Roman"/>
              </w:rPr>
            </w:pPr>
            <w:r>
              <w:rPr>
                <w:rFonts w:ascii="Arial" w:eastAsia="Times New Roman" w:hAnsi="Arial" w:cs="Arial"/>
                <w:sz w:val="16"/>
                <w:szCs w:val="16"/>
              </w:rPr>
              <w:t>755.341,93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50B5E" w14:textId="77777777" w:rsidR="00FE0C5A" w:rsidRDefault="000C18DB" w:rsidP="00F113BD">
            <w:pPr>
              <w:spacing w:after="0"/>
              <w:jc w:val="right"/>
              <w:rPr>
                <w:rFonts w:eastAsia="Times New Roman"/>
              </w:rPr>
            </w:pPr>
            <w:r>
              <w:rPr>
                <w:rFonts w:ascii="Arial" w:eastAsia="Times New Roman" w:hAnsi="Arial" w:cs="Arial"/>
                <w:sz w:val="16"/>
                <w:szCs w:val="16"/>
              </w:rPr>
              <w:t>1,0422%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1DC41"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2D1A98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3991DB" w14:textId="77777777" w:rsidR="00FE0C5A" w:rsidRDefault="000C18DB" w:rsidP="00F113BD">
            <w:pPr>
              <w:spacing w:after="0"/>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D3BEE" w14:textId="77777777" w:rsidR="00FE0C5A" w:rsidRDefault="000C18DB" w:rsidP="00F113BD">
            <w:pPr>
              <w:spacing w:after="0"/>
              <w:jc w:val="right"/>
              <w:rPr>
                <w:rFonts w:eastAsia="Times New Roman"/>
              </w:rPr>
            </w:pPr>
            <w:r>
              <w:rPr>
                <w:rFonts w:ascii="Arial" w:eastAsia="Times New Roman" w:hAnsi="Arial" w:cs="Arial"/>
                <w:sz w:val="16"/>
                <w:szCs w:val="16"/>
              </w:rPr>
              <w:t>1.371.740,34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0C3E0" w14:textId="77777777" w:rsidR="00FE0C5A" w:rsidRDefault="000C18DB" w:rsidP="00F113BD">
            <w:pPr>
              <w:spacing w:after="0"/>
              <w:jc w:val="right"/>
              <w:rPr>
                <w:rFonts w:eastAsia="Times New Roman"/>
              </w:rPr>
            </w:pPr>
            <w:r>
              <w:rPr>
                <w:rFonts w:ascii="Arial" w:eastAsia="Times New Roman" w:hAnsi="Arial" w:cs="Arial"/>
                <w:sz w:val="16"/>
                <w:szCs w:val="16"/>
              </w:rPr>
              <w:t>1,5271%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71483" w14:textId="77777777" w:rsidR="00FE0C5A" w:rsidRDefault="000C18DB" w:rsidP="00F113BD">
            <w:pPr>
              <w:spacing w:after="0"/>
              <w:jc w:val="right"/>
              <w:rPr>
                <w:rFonts w:eastAsia="Times New Roman"/>
              </w:rPr>
            </w:pPr>
            <w:r>
              <w:rPr>
                <w:rFonts w:ascii="Arial" w:eastAsia="Times New Roman" w:hAnsi="Arial" w:cs="Arial"/>
                <w:sz w:val="16"/>
                <w:szCs w:val="16"/>
              </w:rPr>
              <w:t>0,7889%</w:t>
            </w:r>
          </w:p>
        </w:tc>
      </w:tr>
      <w:tr w:rsidR="00FE0C5A" w14:paraId="63B325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5AD3C0" w14:textId="77777777" w:rsidR="00FE0C5A" w:rsidRDefault="000C18DB" w:rsidP="00F113BD">
            <w:pPr>
              <w:spacing w:after="0"/>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A62FC" w14:textId="77777777" w:rsidR="00FE0C5A" w:rsidRDefault="000C18DB" w:rsidP="00F113BD">
            <w:pPr>
              <w:spacing w:after="0"/>
              <w:jc w:val="right"/>
              <w:rPr>
                <w:rFonts w:eastAsia="Times New Roman"/>
              </w:rPr>
            </w:pPr>
            <w:r>
              <w:rPr>
                <w:rFonts w:ascii="Arial" w:eastAsia="Times New Roman" w:hAnsi="Arial" w:cs="Arial"/>
                <w:sz w:val="16"/>
                <w:szCs w:val="16"/>
              </w:rPr>
              <w:t>435.365,03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44FA9" w14:textId="77777777" w:rsidR="00FE0C5A" w:rsidRDefault="000C18DB" w:rsidP="00F113BD">
            <w:pPr>
              <w:spacing w:after="0"/>
              <w:jc w:val="right"/>
              <w:rPr>
                <w:rFonts w:eastAsia="Times New Roman"/>
              </w:rPr>
            </w:pPr>
            <w:r>
              <w:rPr>
                <w:rFonts w:ascii="Arial" w:eastAsia="Times New Roman" w:hAnsi="Arial" w:cs="Arial"/>
                <w:sz w:val="16"/>
                <w:szCs w:val="16"/>
              </w:rPr>
              <w:t>0,9893%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0F8BC" w14:textId="77777777" w:rsidR="00FE0C5A" w:rsidRDefault="000C18DB" w:rsidP="00F113BD">
            <w:pPr>
              <w:spacing w:after="0"/>
              <w:jc w:val="right"/>
              <w:rPr>
                <w:rFonts w:eastAsia="Times New Roman"/>
              </w:rPr>
            </w:pPr>
            <w:r>
              <w:rPr>
                <w:rFonts w:ascii="Arial" w:eastAsia="Times New Roman" w:hAnsi="Arial" w:cs="Arial"/>
                <w:sz w:val="16"/>
                <w:szCs w:val="16"/>
              </w:rPr>
              <w:t>0,8256%</w:t>
            </w:r>
          </w:p>
        </w:tc>
      </w:tr>
    </w:tbl>
    <w:p w14:paraId="03AEEF15" w14:textId="77777777" w:rsidR="00FE0C5A" w:rsidRDefault="000C18DB">
      <w:pPr>
        <w:pStyle w:val="NormalWeb"/>
        <w:jc w:val="both"/>
      </w:pPr>
      <w:r>
        <w:rPr>
          <w:rFonts w:ascii="Arial" w:hAnsi="Arial" w:cs="Arial"/>
          <w:sz w:val="20"/>
          <w:szCs w:val="20"/>
        </w:rPr>
        <w:t xml:space="preserve">c) Foram realizadas transações com partes relacionadas à </w:t>
      </w:r>
      <w:r>
        <w:rPr>
          <w:rFonts w:ascii="Arial" w:hAnsi="Arial" w:cs="Arial"/>
          <w:sz w:val="20"/>
          <w:szCs w:val="20"/>
        </w:rPr>
        <w:t>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418"/>
        <w:gridCol w:w="5110"/>
        <w:gridCol w:w="1460"/>
      </w:tblGrid>
      <w:tr w:rsidR="00FE0C5A" w14:paraId="2E9AF8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169D57" w14:textId="77777777" w:rsidR="00FE0C5A" w:rsidRDefault="000C18DB" w:rsidP="00F113BD">
            <w:pPr>
              <w:spacing w:after="0"/>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F12F6" w14:textId="77777777" w:rsidR="00FE0C5A" w:rsidRDefault="000C18DB" w:rsidP="00F113BD">
            <w:pPr>
              <w:spacing w:after="0"/>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7209D" w14:textId="77777777" w:rsidR="00FE0C5A" w:rsidRDefault="000C18DB" w:rsidP="00F113BD">
            <w:pPr>
              <w:spacing w:after="0"/>
              <w:jc w:val="center"/>
              <w:rPr>
                <w:rFonts w:eastAsia="Times New Roman"/>
              </w:rPr>
            </w:pPr>
            <w:r>
              <w:rPr>
                <w:rFonts w:ascii="Arial" w:eastAsia="Times New Roman" w:hAnsi="Arial" w:cs="Arial"/>
                <w:b/>
                <w:bCs/>
                <w:sz w:val="16"/>
                <w:szCs w:val="16"/>
              </w:rPr>
              <w:t>Prazo médio (a.m)</w:t>
            </w:r>
          </w:p>
        </w:tc>
      </w:tr>
      <w:tr w:rsidR="00FE0C5A" w14:paraId="15588E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2FF20D" w14:textId="77777777" w:rsidR="00FE0C5A" w:rsidRDefault="000C18DB" w:rsidP="00F113BD">
            <w:pPr>
              <w:spacing w:after="0"/>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5A16E" w14:textId="77777777" w:rsidR="00FE0C5A" w:rsidRDefault="000C18DB" w:rsidP="00F113BD">
            <w:pPr>
              <w:spacing w:after="0"/>
              <w:jc w:val="right"/>
              <w:rPr>
                <w:rFonts w:eastAsia="Times New Roman"/>
              </w:rPr>
            </w:pPr>
            <w:r>
              <w:rPr>
                <w:rFonts w:ascii="Arial" w:eastAsia="Times New Roman" w:hAnsi="Arial" w:cs="Arial"/>
                <w:sz w:val="16"/>
                <w:szCs w:val="16"/>
              </w:rPr>
              <w:t>1,9800%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EE875" w14:textId="02FEB56F" w:rsidR="00FE0C5A" w:rsidRDefault="00663642" w:rsidP="00F113BD">
            <w:pPr>
              <w:spacing w:after="0"/>
              <w:jc w:val="right"/>
              <w:rPr>
                <w:rFonts w:eastAsia="Times New Roman"/>
              </w:rPr>
            </w:pPr>
            <w:r w:rsidRPr="00663642">
              <w:rPr>
                <w:rFonts w:ascii="Arial" w:eastAsia="Times New Roman" w:hAnsi="Arial" w:cs="Arial"/>
                <w:sz w:val="16"/>
                <w:szCs w:val="16"/>
              </w:rPr>
              <w:t>20,4826%</w:t>
            </w:r>
          </w:p>
        </w:tc>
      </w:tr>
      <w:tr w:rsidR="00FE0C5A" w14:paraId="6A0B3C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69F33D" w14:textId="77777777" w:rsidR="00FE0C5A" w:rsidRDefault="000C18DB" w:rsidP="00F113BD">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50C34" w14:textId="77777777" w:rsidR="00FE0C5A" w:rsidRDefault="000C18DB" w:rsidP="00F113BD">
            <w:pPr>
              <w:spacing w:after="0"/>
              <w:jc w:val="right"/>
              <w:rPr>
                <w:rFonts w:eastAsia="Times New Roman"/>
              </w:rPr>
            </w:pPr>
            <w:r>
              <w:rPr>
                <w:rFonts w:ascii="Arial" w:eastAsia="Times New Roman" w:hAnsi="Arial" w:cs="Arial"/>
                <w:sz w:val="16"/>
                <w:szCs w:val="16"/>
              </w:rPr>
              <w:t>1,4900%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204B4" w14:textId="440C45DA" w:rsidR="00FE0C5A" w:rsidRDefault="00663642" w:rsidP="00F113BD">
            <w:pPr>
              <w:spacing w:after="0"/>
              <w:jc w:val="right"/>
              <w:rPr>
                <w:rFonts w:eastAsia="Times New Roman"/>
              </w:rPr>
            </w:pPr>
            <w:r w:rsidRPr="00663642">
              <w:rPr>
                <w:rFonts w:ascii="Arial" w:eastAsia="Times New Roman" w:hAnsi="Arial" w:cs="Arial"/>
                <w:sz w:val="16"/>
                <w:szCs w:val="16"/>
              </w:rPr>
              <w:t>35,1333%</w:t>
            </w:r>
          </w:p>
        </w:tc>
      </w:tr>
      <w:tr w:rsidR="00FE0C5A" w14:paraId="7BB687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11E71E" w14:textId="77777777" w:rsidR="00FE0C5A" w:rsidRDefault="000C18DB" w:rsidP="00F113BD">
            <w:pPr>
              <w:spacing w:after="0"/>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C3B45" w14:textId="77777777" w:rsidR="00FE0C5A" w:rsidRDefault="000C18DB" w:rsidP="00F113BD">
            <w:pPr>
              <w:spacing w:after="0"/>
              <w:jc w:val="right"/>
              <w:rPr>
                <w:rFonts w:eastAsia="Times New Roman"/>
              </w:rPr>
            </w:pPr>
            <w:r>
              <w:rPr>
                <w:rFonts w:ascii="Arial" w:eastAsia="Times New Roman" w:hAnsi="Arial" w:cs="Arial"/>
                <w:sz w:val="16"/>
                <w:szCs w:val="16"/>
              </w:rPr>
              <w:t>90,4820%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AA9F2" w14:textId="186501F2" w:rsidR="00FE0C5A" w:rsidRDefault="00663642" w:rsidP="00F113BD">
            <w:pPr>
              <w:spacing w:after="0"/>
              <w:jc w:val="right"/>
              <w:rPr>
                <w:rFonts w:eastAsia="Times New Roman"/>
              </w:rPr>
            </w:pPr>
            <w:r w:rsidRPr="00663642">
              <w:rPr>
                <w:rFonts w:ascii="Arial" w:eastAsia="Times New Roman" w:hAnsi="Arial" w:cs="Arial"/>
                <w:sz w:val="16"/>
                <w:szCs w:val="16"/>
              </w:rPr>
              <w:t>27,2071%</w:t>
            </w:r>
          </w:p>
        </w:tc>
      </w:tr>
      <w:tr w:rsidR="00FE0C5A" w14:paraId="7CADCE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7DCF62" w14:textId="77777777" w:rsidR="00FE0C5A" w:rsidRDefault="000C18DB" w:rsidP="00F113BD">
            <w:pPr>
              <w:spacing w:after="0"/>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99661" w14:textId="77777777" w:rsidR="00FE0C5A" w:rsidRDefault="000C18DB" w:rsidP="00F113BD">
            <w:pPr>
              <w:spacing w:after="0"/>
              <w:jc w:val="right"/>
              <w:rPr>
                <w:rFonts w:eastAsia="Times New Roman"/>
              </w:rPr>
            </w:pPr>
            <w:r>
              <w:rPr>
                <w:rFonts w:ascii="Arial" w:eastAsia="Times New Roman" w:hAnsi="Arial" w:cs="Arial"/>
                <w:sz w:val="16"/>
                <w:szCs w:val="16"/>
              </w:rPr>
              <w:t>0,8170%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ACE6B" w14:textId="308F1617" w:rsidR="00FE0C5A" w:rsidRDefault="00663642" w:rsidP="00F113BD">
            <w:pPr>
              <w:spacing w:after="0"/>
              <w:jc w:val="right"/>
              <w:rPr>
                <w:rFonts w:eastAsia="Times New Roman"/>
              </w:rPr>
            </w:pPr>
            <w:r w:rsidRPr="00663642">
              <w:rPr>
                <w:rFonts w:ascii="Arial" w:eastAsia="Times New Roman" w:hAnsi="Arial" w:cs="Arial"/>
                <w:sz w:val="16"/>
                <w:szCs w:val="16"/>
              </w:rPr>
              <w:t>5,0556%</w:t>
            </w:r>
          </w:p>
        </w:tc>
      </w:tr>
    </w:tbl>
    <w:p w14:paraId="0C101E73" w14:textId="77777777" w:rsidR="00FE0C5A" w:rsidRDefault="000C18DB">
      <w:pPr>
        <w:pStyle w:val="NormalWeb"/>
        <w:jc w:val="both"/>
      </w:pPr>
      <w:r>
        <w:rPr>
          <w:rFonts w:ascii="Arial" w:hAnsi="Arial" w:cs="Arial"/>
          <w:sz w:val="20"/>
          <w:szCs w:val="20"/>
        </w:rPr>
        <w:t xml:space="preserve">Conforme a Política de Crédito do Sistema Sicoob, as operações realizadas com membros de órgãos estatutários e pessoas ligadas a eles são </w:t>
      </w:r>
      <w:r>
        <w:rPr>
          <w:rFonts w:ascii="Arial" w:hAnsi="Arial" w:cs="Arial"/>
          <w:sz w:val="20"/>
          <w:szCs w:val="20"/>
        </w:rPr>
        <w:t>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6CD90555" w14:textId="057FD8A3" w:rsidR="00FE0C5A" w:rsidRDefault="00663642">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6184"/>
        <w:gridCol w:w="3804"/>
      </w:tblGrid>
      <w:tr w:rsidR="00FE0C5A" w14:paraId="7AF8A3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AE6C70" w14:textId="77777777" w:rsidR="00FE0C5A" w:rsidRDefault="000C18DB" w:rsidP="00F113BD">
            <w:pPr>
              <w:spacing w:after="0"/>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2E785" w14:textId="77777777" w:rsidR="00FE0C5A" w:rsidRDefault="000C18DB" w:rsidP="00F113BD">
            <w:pPr>
              <w:spacing w:after="0"/>
              <w:jc w:val="center"/>
              <w:rPr>
                <w:rFonts w:eastAsia="Times New Roman"/>
              </w:rPr>
            </w:pPr>
            <w:r>
              <w:rPr>
                <w:rFonts w:ascii="Arial" w:eastAsia="Times New Roman" w:hAnsi="Arial" w:cs="Arial"/>
                <w:b/>
                <w:bCs/>
                <w:sz w:val="16"/>
                <w:szCs w:val="16"/>
              </w:rPr>
              <w:t>Garantias Prestadas</w:t>
            </w:r>
          </w:p>
        </w:tc>
      </w:tr>
      <w:tr w:rsidR="00FE0C5A" w14:paraId="547C20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9992C0" w14:textId="77777777" w:rsidR="00FE0C5A" w:rsidRDefault="000C18DB" w:rsidP="00F113BD">
            <w:pPr>
              <w:spacing w:after="0"/>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FA4A5" w14:textId="77777777" w:rsidR="00FE0C5A" w:rsidRDefault="000C18DB" w:rsidP="00F113BD">
            <w:pPr>
              <w:spacing w:after="0"/>
              <w:jc w:val="right"/>
              <w:rPr>
                <w:rFonts w:eastAsia="Times New Roman"/>
              </w:rPr>
            </w:pPr>
            <w:r>
              <w:rPr>
                <w:rFonts w:ascii="Arial" w:eastAsia="Times New Roman" w:hAnsi="Arial" w:cs="Arial"/>
                <w:sz w:val="16"/>
                <w:szCs w:val="16"/>
              </w:rPr>
              <w:t>207.960,55</w:t>
            </w:r>
          </w:p>
        </w:tc>
      </w:tr>
      <w:tr w:rsidR="00FE0C5A" w14:paraId="51D1FD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E6E2A6" w14:textId="77777777" w:rsidR="00FE0C5A" w:rsidRDefault="000C18DB" w:rsidP="00F113BD">
            <w:pPr>
              <w:spacing w:after="0"/>
              <w:rPr>
                <w:rFonts w:eastAsia="Times New Roman"/>
              </w:rPr>
            </w:pPr>
            <w:r>
              <w:rPr>
                <w:rFonts w:ascii="Arial" w:eastAsia="Times New Roman" w:hAnsi="Arial" w:cs="Arial"/>
                <w:sz w:val="16"/>
                <w:szCs w:val="16"/>
              </w:rPr>
              <w:t>Crédito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D62C" w14:textId="77777777" w:rsidR="00FE0C5A" w:rsidRDefault="000C18DB" w:rsidP="00F113BD">
            <w:pPr>
              <w:spacing w:after="0"/>
              <w:jc w:val="right"/>
              <w:rPr>
                <w:rFonts w:eastAsia="Times New Roman"/>
              </w:rPr>
            </w:pPr>
            <w:r>
              <w:rPr>
                <w:rFonts w:ascii="Arial" w:eastAsia="Times New Roman" w:hAnsi="Arial" w:cs="Arial"/>
                <w:sz w:val="16"/>
                <w:szCs w:val="16"/>
              </w:rPr>
              <w:t>10.439.582,63</w:t>
            </w:r>
          </w:p>
        </w:tc>
      </w:tr>
      <w:tr w:rsidR="00FE0C5A" w14:paraId="51D41A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FB99F8" w14:textId="77777777" w:rsidR="00FE0C5A" w:rsidRDefault="000C18DB" w:rsidP="00F113BD">
            <w:pPr>
              <w:spacing w:after="0"/>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EBDCB" w14:textId="77777777" w:rsidR="00FE0C5A" w:rsidRDefault="000C18DB" w:rsidP="00F113BD">
            <w:pPr>
              <w:spacing w:after="0"/>
              <w:jc w:val="right"/>
              <w:rPr>
                <w:rFonts w:eastAsia="Times New Roman"/>
              </w:rPr>
            </w:pPr>
            <w:r>
              <w:rPr>
                <w:rFonts w:ascii="Arial" w:eastAsia="Times New Roman" w:hAnsi="Arial" w:cs="Arial"/>
                <w:sz w:val="16"/>
                <w:szCs w:val="16"/>
              </w:rPr>
              <w:t>817.250,75</w:t>
            </w:r>
          </w:p>
        </w:tc>
      </w:tr>
      <w:tr w:rsidR="00FE0C5A" w14:paraId="3E17F6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1A75AD" w14:textId="77777777" w:rsidR="00FE0C5A" w:rsidRDefault="000C18DB" w:rsidP="00F113BD">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15DC9" w14:textId="77777777" w:rsidR="00FE0C5A" w:rsidRDefault="000C18DB" w:rsidP="00F113BD">
            <w:pPr>
              <w:spacing w:after="0"/>
              <w:jc w:val="right"/>
              <w:rPr>
                <w:rFonts w:eastAsia="Times New Roman"/>
              </w:rPr>
            </w:pPr>
            <w:r>
              <w:rPr>
                <w:rFonts w:ascii="Arial" w:eastAsia="Times New Roman" w:hAnsi="Arial" w:cs="Arial"/>
                <w:sz w:val="16"/>
                <w:szCs w:val="16"/>
              </w:rPr>
              <w:t>708.564,69</w:t>
            </w:r>
          </w:p>
        </w:tc>
      </w:tr>
    </w:tbl>
    <w:p w14:paraId="65C54F86" w14:textId="70C46787" w:rsidR="00FE0C5A" w:rsidRDefault="00663642">
      <w:pPr>
        <w:pStyle w:val="NormalWeb"/>
        <w:jc w:val="both"/>
      </w:pPr>
      <w:r>
        <w:rPr>
          <w:rFonts w:ascii="Arial" w:hAnsi="Arial" w:cs="Arial"/>
          <w:sz w:val="20"/>
          <w:szCs w:val="20"/>
        </w:rPr>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6234"/>
        <w:gridCol w:w="1877"/>
        <w:gridCol w:w="1877"/>
      </w:tblGrid>
      <w:tr w:rsidR="00FE0C5A" w14:paraId="0A5EDE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88B48D" w14:textId="77777777" w:rsidR="00FE0C5A" w:rsidRDefault="000C18DB" w:rsidP="00F113BD">
            <w:pPr>
              <w:spacing w:after="0"/>
              <w:jc w:val="center"/>
              <w:rPr>
                <w:rFonts w:eastAsia="Times New Roman"/>
              </w:rPr>
            </w:pPr>
            <w:r>
              <w:rPr>
                <w:rFonts w:ascii="Arial" w:eastAsia="Times New Roman" w:hAnsi="Arial" w:cs="Arial"/>
                <w:b/>
                <w:bCs/>
                <w:sz w:val="16"/>
                <w:szCs w:val="16"/>
              </w:rPr>
              <w:t>Submodalidade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35C23"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29F88"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390B0A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925F00" w14:textId="77777777" w:rsidR="00FE0C5A" w:rsidRDefault="000C18DB" w:rsidP="00F113BD">
            <w:pPr>
              <w:spacing w:after="0"/>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38B5F" w14:textId="77777777" w:rsidR="00FE0C5A" w:rsidRDefault="000C18DB" w:rsidP="00F113BD">
            <w:pPr>
              <w:spacing w:after="0"/>
              <w:jc w:val="right"/>
              <w:rPr>
                <w:rFonts w:eastAsia="Times New Roman"/>
              </w:rPr>
            </w:pPr>
            <w:r>
              <w:rPr>
                <w:rFonts w:ascii="Arial" w:eastAsia="Times New Roman" w:hAnsi="Arial" w:cs="Arial"/>
                <w:sz w:val="16"/>
                <w:szCs w:val="16"/>
              </w:rPr>
              <w:t>351.997,40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68577" w14:textId="77777777" w:rsidR="00FE0C5A" w:rsidRDefault="000C18DB" w:rsidP="00F113BD">
            <w:pPr>
              <w:spacing w:after="0"/>
              <w:jc w:val="right"/>
              <w:rPr>
                <w:rFonts w:eastAsia="Times New Roman"/>
              </w:rPr>
            </w:pPr>
            <w:r>
              <w:rPr>
                <w:rFonts w:ascii="Arial" w:eastAsia="Times New Roman" w:hAnsi="Arial" w:cs="Arial"/>
                <w:sz w:val="16"/>
                <w:szCs w:val="16"/>
              </w:rPr>
              <w:t>258.385,76</w:t>
            </w:r>
          </w:p>
        </w:tc>
      </w:tr>
    </w:tbl>
    <w:p w14:paraId="3F480B5F" w14:textId="6B5E4412" w:rsidR="00FE0C5A" w:rsidRDefault="00663642">
      <w:pPr>
        <w:pStyle w:val="NormalWeb"/>
        <w:jc w:val="both"/>
      </w:pPr>
      <w:r>
        <w:rPr>
          <w:rFonts w:ascii="Arial" w:hAnsi="Arial" w:cs="Arial"/>
          <w:sz w:val="20"/>
          <w:szCs w:val="20"/>
        </w:rPr>
        <w:t>f) Remuneração de pessoal chave da administração</w:t>
      </w:r>
    </w:p>
    <w:p w14:paraId="49E918F2" w14:textId="77777777" w:rsidR="00FE0C5A" w:rsidRDefault="000C18DB">
      <w:pPr>
        <w:pStyle w:val="NormalWeb"/>
        <w:jc w:val="both"/>
      </w:pPr>
      <w:r>
        <w:rPr>
          <w:rFonts w:ascii="Arial" w:hAnsi="Arial" w:cs="Arial"/>
          <w:sz w:val="20"/>
          <w:szCs w:val="20"/>
        </w:rPr>
        <w:lastRenderedPageBreak/>
        <w:t>Nos períodos findos em 31 de dezembro de 2023 e 2022,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5467"/>
        <w:gridCol w:w="1375"/>
        <w:gridCol w:w="1573"/>
        <w:gridCol w:w="1573"/>
      </w:tblGrid>
      <w:tr w:rsidR="00FE0C5A" w14:paraId="662B5C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6EE92A"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39D4A"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60017"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E54E3"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499236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954573" w14:textId="77777777" w:rsidR="00FE0C5A" w:rsidRDefault="000C18DB" w:rsidP="00F113BD">
            <w:pPr>
              <w:spacing w:after="0"/>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6201A" w14:textId="77777777" w:rsidR="00FE0C5A" w:rsidRDefault="000C18DB" w:rsidP="00F113BD">
            <w:pPr>
              <w:spacing w:after="0"/>
              <w:jc w:val="right"/>
              <w:rPr>
                <w:rFonts w:eastAsia="Times New Roman"/>
              </w:rPr>
            </w:pPr>
            <w:r>
              <w:rPr>
                <w:rFonts w:ascii="Arial" w:eastAsia="Times New Roman" w:hAnsi="Arial" w:cs="Arial"/>
                <w:sz w:val="16"/>
                <w:szCs w:val="16"/>
              </w:rPr>
              <w:t>(127.506,23)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A3852" w14:textId="77777777" w:rsidR="00FE0C5A" w:rsidRDefault="000C18DB" w:rsidP="00F113BD">
            <w:pPr>
              <w:spacing w:after="0"/>
              <w:jc w:val="right"/>
              <w:rPr>
                <w:rFonts w:eastAsia="Times New Roman"/>
              </w:rPr>
            </w:pPr>
            <w:r>
              <w:rPr>
                <w:rFonts w:ascii="Arial" w:eastAsia="Times New Roman" w:hAnsi="Arial" w:cs="Arial"/>
                <w:sz w:val="16"/>
                <w:szCs w:val="16"/>
              </w:rPr>
              <w:t>(277.257,09)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F8871" w14:textId="77777777" w:rsidR="00FE0C5A" w:rsidRDefault="000C18DB" w:rsidP="00F113BD">
            <w:pPr>
              <w:spacing w:after="0"/>
              <w:jc w:val="right"/>
              <w:rPr>
                <w:rFonts w:eastAsia="Times New Roman"/>
              </w:rPr>
            </w:pPr>
            <w:r>
              <w:rPr>
                <w:rFonts w:ascii="Arial" w:eastAsia="Times New Roman" w:hAnsi="Arial" w:cs="Arial"/>
                <w:sz w:val="16"/>
                <w:szCs w:val="16"/>
              </w:rPr>
              <w:t>(250.768,09)</w:t>
            </w:r>
          </w:p>
        </w:tc>
      </w:tr>
      <w:tr w:rsidR="00FE0C5A" w14:paraId="72EE85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44E2AD" w14:textId="77777777" w:rsidR="00FE0C5A" w:rsidRDefault="000C18DB" w:rsidP="00F113BD">
            <w:pPr>
              <w:spacing w:after="0"/>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8B395" w14:textId="77777777" w:rsidR="00FE0C5A" w:rsidRDefault="000C18DB" w:rsidP="00F113BD">
            <w:pPr>
              <w:spacing w:after="0"/>
              <w:jc w:val="right"/>
              <w:rPr>
                <w:rFonts w:eastAsia="Times New Roman"/>
              </w:rPr>
            </w:pPr>
            <w:r>
              <w:rPr>
                <w:rFonts w:ascii="Arial" w:eastAsia="Times New Roman" w:hAnsi="Arial" w:cs="Arial"/>
                <w:sz w:val="16"/>
                <w:szCs w:val="16"/>
              </w:rPr>
              <w:t>(641.146,00)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E1F76" w14:textId="77777777" w:rsidR="00FE0C5A" w:rsidRDefault="000C18DB" w:rsidP="00F113BD">
            <w:pPr>
              <w:spacing w:after="0"/>
              <w:jc w:val="right"/>
              <w:rPr>
                <w:rFonts w:eastAsia="Times New Roman"/>
              </w:rPr>
            </w:pPr>
            <w:r>
              <w:rPr>
                <w:rFonts w:ascii="Arial" w:eastAsia="Times New Roman" w:hAnsi="Arial" w:cs="Arial"/>
                <w:sz w:val="16"/>
                <w:szCs w:val="16"/>
              </w:rPr>
              <w:t>(1.272.251,50)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9E4E1" w14:textId="77777777" w:rsidR="00FE0C5A" w:rsidRDefault="000C18DB" w:rsidP="00F113BD">
            <w:pPr>
              <w:spacing w:after="0"/>
              <w:jc w:val="right"/>
              <w:rPr>
                <w:rFonts w:eastAsia="Times New Roman"/>
              </w:rPr>
            </w:pPr>
            <w:r>
              <w:rPr>
                <w:rFonts w:ascii="Arial" w:eastAsia="Times New Roman" w:hAnsi="Arial" w:cs="Arial"/>
                <w:sz w:val="16"/>
                <w:szCs w:val="16"/>
              </w:rPr>
              <w:t>(1.148.635,37)</w:t>
            </w:r>
          </w:p>
        </w:tc>
      </w:tr>
      <w:tr w:rsidR="00FE0C5A" w14:paraId="439F14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72FA1F" w14:textId="77777777" w:rsidR="00FE0C5A" w:rsidRDefault="000C18DB" w:rsidP="00F113BD">
            <w:pPr>
              <w:spacing w:after="0"/>
              <w:rPr>
                <w:rFonts w:eastAsia="Times New Roman"/>
              </w:rPr>
            </w:pPr>
            <w:r>
              <w:rPr>
                <w:rFonts w:ascii="Arial" w:eastAsia="Times New Roman" w:hAnsi="Arial" w:cs="Arial"/>
                <w:sz w:val="16"/>
                <w:szCs w:val="16"/>
              </w:rPr>
              <w:t>F.G.T.S. Diretoria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24C4F" w14:textId="77777777" w:rsidR="00FE0C5A" w:rsidRDefault="000C18DB" w:rsidP="00F113BD">
            <w:pPr>
              <w:spacing w:after="0"/>
              <w:jc w:val="right"/>
              <w:rPr>
                <w:rFonts w:eastAsia="Times New Roman"/>
              </w:rPr>
            </w:pPr>
            <w:r>
              <w:rPr>
                <w:rFonts w:ascii="Arial" w:eastAsia="Times New Roman" w:hAnsi="Arial" w:cs="Arial"/>
                <w:sz w:val="16"/>
                <w:szCs w:val="16"/>
              </w:rPr>
              <w:t>(28.057,52)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62C64" w14:textId="77777777" w:rsidR="00FE0C5A" w:rsidRDefault="000C18DB" w:rsidP="00F113BD">
            <w:pPr>
              <w:spacing w:after="0"/>
              <w:jc w:val="right"/>
              <w:rPr>
                <w:rFonts w:eastAsia="Times New Roman"/>
              </w:rPr>
            </w:pPr>
            <w:r>
              <w:rPr>
                <w:rFonts w:ascii="Arial" w:eastAsia="Times New Roman" w:hAnsi="Arial" w:cs="Arial"/>
                <w:sz w:val="16"/>
                <w:szCs w:val="16"/>
              </w:rPr>
              <w:t>(65.446,13)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1F348" w14:textId="77777777" w:rsidR="00FE0C5A" w:rsidRDefault="000C18DB" w:rsidP="00F113BD">
            <w:pPr>
              <w:spacing w:after="0"/>
              <w:jc w:val="right"/>
              <w:rPr>
                <w:rFonts w:eastAsia="Times New Roman"/>
              </w:rPr>
            </w:pPr>
            <w:r>
              <w:rPr>
                <w:rFonts w:ascii="Arial" w:eastAsia="Times New Roman" w:hAnsi="Arial" w:cs="Arial"/>
                <w:sz w:val="16"/>
                <w:szCs w:val="16"/>
              </w:rPr>
              <w:t>(60.318,89)</w:t>
            </w:r>
          </w:p>
        </w:tc>
      </w:tr>
      <w:tr w:rsidR="00FE0C5A" w14:paraId="67AE42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D4234F" w14:textId="77777777" w:rsidR="00FE0C5A" w:rsidRDefault="000C18DB" w:rsidP="00F113BD">
            <w:pPr>
              <w:spacing w:after="0"/>
              <w:rPr>
                <w:rFonts w:eastAsia="Times New Roman"/>
              </w:rPr>
            </w:pPr>
            <w:r>
              <w:rPr>
                <w:rFonts w:ascii="Arial" w:eastAsia="Times New Roman" w:hAnsi="Arial" w:cs="Arial"/>
                <w:sz w:val="16"/>
                <w:szCs w:val="16"/>
              </w:rPr>
              <w:t>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B6811"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409E7"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C9F76" w14:textId="77777777" w:rsidR="00FE0C5A" w:rsidRDefault="000C18DB" w:rsidP="00F113BD">
            <w:pPr>
              <w:spacing w:after="0"/>
              <w:jc w:val="right"/>
              <w:rPr>
                <w:rFonts w:eastAsia="Times New Roman"/>
              </w:rPr>
            </w:pPr>
            <w:r>
              <w:rPr>
                <w:rFonts w:ascii="Arial" w:eastAsia="Times New Roman" w:hAnsi="Arial" w:cs="Arial"/>
                <w:sz w:val="16"/>
                <w:szCs w:val="16"/>
              </w:rPr>
              <w:t>(1.232,95)</w:t>
            </w:r>
          </w:p>
        </w:tc>
      </w:tr>
    </w:tbl>
    <w:p w14:paraId="408CC570" w14:textId="731BF86A" w:rsidR="00FE0C5A" w:rsidRDefault="00663642">
      <w:pPr>
        <w:pStyle w:val="NormalWeb"/>
      </w:pPr>
      <w:r>
        <w:rPr>
          <w:rFonts w:ascii="Arial" w:hAnsi="Arial" w:cs="Arial"/>
          <w:b/>
          <w:bCs/>
          <w:sz w:val="20"/>
          <w:szCs w:val="20"/>
        </w:rPr>
        <w:t xml:space="preserve">33.2 Cooperativa Central </w:t>
      </w:r>
    </w:p>
    <w:p w14:paraId="737F3E9D" w14:textId="2FB7009E" w:rsidR="00FE0C5A" w:rsidRDefault="000C18DB">
      <w:pPr>
        <w:pStyle w:val="NormalWeb"/>
        <w:jc w:val="both"/>
      </w:pPr>
      <w:r>
        <w:rPr>
          <w:rFonts w:ascii="Arial" w:hAnsi="Arial" w:cs="Arial"/>
          <w:sz w:val="20"/>
          <w:szCs w:val="20"/>
        </w:rPr>
        <w:t xml:space="preserve">O SICOOB COPERSUL, em conjunto com outras Cooperativas Singulares, é filiado </w:t>
      </w:r>
      <w:r w:rsidR="004C1C0B">
        <w:rPr>
          <w:rFonts w:ascii="Arial" w:hAnsi="Arial" w:cs="Arial"/>
          <w:sz w:val="20"/>
          <w:szCs w:val="20"/>
        </w:rPr>
        <w:t>ao</w:t>
      </w:r>
      <w:r>
        <w:rPr>
          <w:rFonts w:ascii="Arial" w:hAnsi="Arial" w:cs="Arial"/>
          <w:sz w:val="20"/>
          <w:szCs w:val="20"/>
        </w:rPr>
        <w:t xml:space="preserve"> SICOOB CENTRAL CREDIMINAS, que representa o grupo formado por suas afiliadas perante as autoridades monetárias, organismos governamentais e entidades privadas.</w:t>
      </w:r>
    </w:p>
    <w:p w14:paraId="73920092" w14:textId="77777777" w:rsidR="00FE0C5A" w:rsidRDefault="000C18DB">
      <w:pPr>
        <w:pStyle w:val="NormalWeb"/>
        <w:jc w:val="both"/>
      </w:pPr>
      <w:r>
        <w:rPr>
          <w:rFonts w:ascii="Arial" w:hAnsi="Arial" w:cs="Arial"/>
          <w:sz w:val="20"/>
          <w:szCs w:val="20"/>
        </w:rPr>
        <w:t xml:space="preserve">O SICOOB </w:t>
      </w:r>
      <w:r>
        <w:rPr>
          <w:rFonts w:ascii="Arial" w:hAnsi="Arial" w:cs="Arial"/>
          <w:sz w:val="20"/>
          <w:szCs w:val="20"/>
        </w:rPr>
        <w:t>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432CE4D7" w14:textId="77777777" w:rsidR="00FE0C5A" w:rsidRDefault="000C18DB">
      <w:pPr>
        <w:pStyle w:val="NormalWeb"/>
        <w:jc w:val="both"/>
      </w:pPr>
      <w:r>
        <w:rPr>
          <w:rFonts w:ascii="Arial" w:hAnsi="Arial" w:cs="Arial"/>
          <w:sz w:val="20"/>
          <w:szCs w:val="20"/>
        </w:rPr>
        <w:t>Para assegurar a consecução de seus objetivos, cabem ao SICOOB CENTRAL CREDIMINAS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2C53D310" w14:textId="77777777" w:rsidR="00FE0C5A" w:rsidRDefault="000C18DB">
      <w:pPr>
        <w:pStyle w:val="NormalWeb"/>
        <w:jc w:val="both"/>
      </w:pPr>
      <w:r>
        <w:rPr>
          <w:rFonts w:ascii="Arial" w:hAnsi="Arial" w:cs="Arial"/>
          <w:sz w:val="20"/>
          <w:szCs w:val="20"/>
        </w:rPr>
        <w:t>O SICOOB COPERSUL responde solidariamente pelas obrigações contraídas pelo SICOOB CENTRAL CREDIMINAS perante terceiros, até o limite do valor das cotas-partes do capital que subscrever, proporcionalmente, à sua participação nessas operações.</w:t>
      </w:r>
    </w:p>
    <w:p w14:paraId="26D4E72E" w14:textId="77777777" w:rsidR="00FE0C5A" w:rsidRDefault="000C18DB">
      <w:pPr>
        <w:pStyle w:val="NormalWeb"/>
        <w:jc w:val="both"/>
      </w:pPr>
      <w:r>
        <w:rPr>
          <w:rFonts w:ascii="Arial" w:hAnsi="Arial" w:cs="Arial"/>
          <w:sz w:val="20"/>
          <w:szCs w:val="20"/>
        </w:rPr>
        <w:t>a) Saldos das transações da Cooperativa com o SICOOB CENTRAL CREDIMINAS:</w:t>
      </w:r>
    </w:p>
    <w:tbl>
      <w:tblPr>
        <w:tblW w:w="5000" w:type="pct"/>
        <w:tblCellMar>
          <w:left w:w="0" w:type="dxa"/>
          <w:right w:w="0" w:type="dxa"/>
        </w:tblCellMar>
        <w:tblLook w:val="04A0" w:firstRow="1" w:lastRow="0" w:firstColumn="1" w:lastColumn="0" w:noHBand="0" w:noVBand="1"/>
      </w:tblPr>
      <w:tblGrid>
        <w:gridCol w:w="6830"/>
        <w:gridCol w:w="1579"/>
        <w:gridCol w:w="1579"/>
      </w:tblGrid>
      <w:tr w:rsidR="00FE0C5A" w14:paraId="7BB7B1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B5856F"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CD63A"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36647"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05050E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25F61B" w14:textId="08CAD90C" w:rsidR="00FE0C5A" w:rsidRDefault="000C18DB" w:rsidP="00F113BD">
            <w:pPr>
              <w:spacing w:after="0"/>
              <w:rPr>
                <w:rFonts w:eastAsia="Times New Roman"/>
              </w:rPr>
            </w:pPr>
            <w:r>
              <w:rPr>
                <w:rFonts w:ascii="Arial" w:eastAsia="Times New Roman" w:hAnsi="Arial" w:cs="Arial"/>
                <w:sz w:val="16"/>
                <w:szCs w:val="16"/>
              </w:rPr>
              <w:t xml:space="preserve">Ativo - Relações </w:t>
            </w:r>
            <w:r>
              <w:rPr>
                <w:rFonts w:ascii="Arial" w:eastAsia="Times New Roman" w:hAnsi="Arial" w:cs="Arial"/>
                <w:sz w:val="16"/>
                <w:szCs w:val="16"/>
              </w:rPr>
              <w:t>Interfinanceiras - Centralização Financeira</w:t>
            </w:r>
            <w:r w:rsidR="00663642">
              <w:rPr>
                <w:rFonts w:ascii="Arial" w:eastAsia="Times New Roman"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F3F74" w14:textId="77777777" w:rsidR="00FE0C5A" w:rsidRDefault="000C18DB" w:rsidP="00F113BD">
            <w:pPr>
              <w:spacing w:after="0"/>
              <w:jc w:val="right"/>
              <w:rPr>
                <w:rFonts w:eastAsia="Times New Roman"/>
              </w:rPr>
            </w:pPr>
            <w:r>
              <w:rPr>
                <w:rFonts w:ascii="Arial" w:eastAsia="Times New Roman" w:hAnsi="Arial" w:cs="Arial"/>
                <w:sz w:val="16"/>
                <w:szCs w:val="16"/>
              </w:rPr>
              <w:t>142.488.001,46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21038" w14:textId="77777777" w:rsidR="00FE0C5A" w:rsidRDefault="000C18DB" w:rsidP="00F113BD">
            <w:pPr>
              <w:spacing w:after="0"/>
              <w:jc w:val="right"/>
              <w:rPr>
                <w:rFonts w:eastAsia="Times New Roman"/>
              </w:rPr>
            </w:pPr>
            <w:r>
              <w:rPr>
                <w:rFonts w:ascii="Arial" w:eastAsia="Times New Roman" w:hAnsi="Arial" w:cs="Arial"/>
                <w:sz w:val="16"/>
                <w:szCs w:val="16"/>
              </w:rPr>
              <w:t>98.596.730,75</w:t>
            </w:r>
          </w:p>
        </w:tc>
      </w:tr>
      <w:tr w:rsidR="00FE0C5A" w14:paraId="14CB7A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03B27D" w14:textId="6B75B78C" w:rsidR="00FE0C5A" w:rsidRDefault="000C18DB" w:rsidP="00F113BD">
            <w:pPr>
              <w:spacing w:after="0"/>
              <w:rPr>
                <w:rFonts w:eastAsia="Times New Roman"/>
              </w:rPr>
            </w:pPr>
            <w:r>
              <w:rPr>
                <w:rFonts w:ascii="Arial" w:eastAsia="Times New Roman" w:hAnsi="Arial" w:cs="Arial"/>
                <w:sz w:val="16"/>
                <w:szCs w:val="16"/>
              </w:rPr>
              <w:t>Ativo - Participações de Cooperativas</w:t>
            </w:r>
            <w:r w:rsidR="00663642">
              <w:rPr>
                <w:rFonts w:ascii="Arial" w:eastAsia="Times New Roman" w:hAnsi="Arial" w:cs="Arial"/>
                <w:sz w:val="16"/>
                <w:szCs w:val="16"/>
              </w:rPr>
              <w:t xml:space="preserve"> – Nota 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3368E" w14:textId="77777777" w:rsidR="00FE0C5A" w:rsidRDefault="000C18DB" w:rsidP="00F113BD">
            <w:pPr>
              <w:spacing w:after="0"/>
              <w:jc w:val="right"/>
              <w:rPr>
                <w:rFonts w:eastAsia="Times New Roman"/>
              </w:rPr>
            </w:pPr>
            <w:r>
              <w:rPr>
                <w:rFonts w:ascii="Arial" w:eastAsia="Times New Roman" w:hAnsi="Arial" w:cs="Arial"/>
                <w:sz w:val="16"/>
                <w:szCs w:val="16"/>
              </w:rPr>
              <w:t>9.935.248,66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0DAEC" w14:textId="77777777" w:rsidR="00FE0C5A" w:rsidRDefault="000C18DB" w:rsidP="00F113BD">
            <w:pPr>
              <w:spacing w:after="0"/>
              <w:jc w:val="right"/>
              <w:rPr>
                <w:rFonts w:eastAsia="Times New Roman"/>
              </w:rPr>
            </w:pPr>
            <w:r>
              <w:rPr>
                <w:rFonts w:ascii="Arial" w:eastAsia="Times New Roman" w:hAnsi="Arial" w:cs="Arial"/>
                <w:sz w:val="16"/>
                <w:szCs w:val="16"/>
              </w:rPr>
              <w:t>7.165.367,13</w:t>
            </w:r>
          </w:p>
        </w:tc>
      </w:tr>
      <w:tr w:rsidR="00FE0C5A" w14:paraId="2A4123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332054" w14:textId="77777777" w:rsidR="00FE0C5A" w:rsidRDefault="000C18DB" w:rsidP="00F113BD">
            <w:pPr>
              <w:spacing w:after="0"/>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C1B26" w14:textId="77777777" w:rsidR="00FE0C5A" w:rsidRDefault="000C18DB" w:rsidP="00F113BD">
            <w:pPr>
              <w:spacing w:after="0"/>
              <w:jc w:val="right"/>
              <w:rPr>
                <w:rFonts w:eastAsia="Times New Roman"/>
              </w:rPr>
            </w:pPr>
            <w:r>
              <w:rPr>
                <w:rFonts w:ascii="Arial" w:eastAsia="Times New Roman" w:hAnsi="Arial" w:cs="Arial"/>
                <w:b/>
                <w:bCs/>
                <w:sz w:val="16"/>
                <w:szCs w:val="16"/>
              </w:rPr>
              <w:t>152.423.250,12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A321C" w14:textId="77777777" w:rsidR="00FE0C5A" w:rsidRDefault="000C18DB" w:rsidP="00F113BD">
            <w:pPr>
              <w:spacing w:after="0"/>
              <w:jc w:val="right"/>
              <w:rPr>
                <w:rFonts w:eastAsia="Times New Roman"/>
              </w:rPr>
            </w:pPr>
            <w:r>
              <w:rPr>
                <w:rFonts w:ascii="Arial" w:eastAsia="Times New Roman" w:hAnsi="Arial" w:cs="Arial"/>
                <w:b/>
                <w:bCs/>
                <w:sz w:val="16"/>
                <w:szCs w:val="16"/>
              </w:rPr>
              <w:t>105.762.097,88</w:t>
            </w:r>
          </w:p>
        </w:tc>
      </w:tr>
      <w:tr w:rsidR="00FE0C5A" w14:paraId="079DA7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FEC294" w14:textId="15C05A83" w:rsidR="00FE0C5A" w:rsidRDefault="000C18DB" w:rsidP="00F113BD">
            <w:pPr>
              <w:spacing w:after="0"/>
              <w:rPr>
                <w:rFonts w:eastAsia="Times New Roman"/>
              </w:rPr>
            </w:pPr>
            <w:r>
              <w:rPr>
                <w:rFonts w:ascii="Arial" w:eastAsia="Times New Roman" w:hAnsi="Arial" w:cs="Arial"/>
                <w:sz w:val="16"/>
                <w:szCs w:val="16"/>
              </w:rPr>
              <w:t>Passivo - Repasses Interfinanceiros</w:t>
            </w:r>
            <w:r w:rsidR="00663642">
              <w:rPr>
                <w:rFonts w:ascii="Arial" w:eastAsia="Times New Roman" w:hAnsi="Arial" w:cs="Arial"/>
                <w:sz w:val="16"/>
                <w:szCs w:val="16"/>
              </w:rPr>
              <w:t xml:space="preserve"> – Nota 14.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B6B21" w14:textId="77777777" w:rsidR="00FE0C5A" w:rsidRDefault="000C18DB" w:rsidP="00F113BD">
            <w:pPr>
              <w:spacing w:after="0"/>
              <w:jc w:val="right"/>
              <w:rPr>
                <w:rFonts w:eastAsia="Times New Roman"/>
              </w:rPr>
            </w:pPr>
            <w:r>
              <w:rPr>
                <w:rFonts w:ascii="Arial" w:eastAsia="Times New Roman" w:hAnsi="Arial" w:cs="Arial"/>
                <w:sz w:val="16"/>
                <w:szCs w:val="16"/>
              </w:rPr>
              <w:t>11.468.268,59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98FC8" w14:textId="77777777" w:rsidR="00FE0C5A" w:rsidRDefault="000C18DB" w:rsidP="00F113BD">
            <w:pPr>
              <w:spacing w:after="0"/>
              <w:jc w:val="right"/>
              <w:rPr>
                <w:rFonts w:eastAsia="Times New Roman"/>
              </w:rPr>
            </w:pPr>
            <w:r>
              <w:rPr>
                <w:rFonts w:ascii="Arial" w:eastAsia="Times New Roman" w:hAnsi="Arial" w:cs="Arial"/>
                <w:sz w:val="16"/>
                <w:szCs w:val="16"/>
              </w:rPr>
              <w:t>12.374.660,27</w:t>
            </w:r>
          </w:p>
        </w:tc>
      </w:tr>
      <w:tr w:rsidR="00FE0C5A" w14:paraId="416672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2ADECC" w14:textId="77777777" w:rsidR="00FE0C5A" w:rsidRDefault="000C18DB" w:rsidP="00F113BD">
            <w:pPr>
              <w:spacing w:after="0"/>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2188A" w14:textId="77777777" w:rsidR="00FE0C5A" w:rsidRDefault="000C18DB" w:rsidP="00F113BD">
            <w:pPr>
              <w:spacing w:after="0"/>
              <w:jc w:val="right"/>
              <w:rPr>
                <w:rFonts w:eastAsia="Times New Roman"/>
              </w:rPr>
            </w:pPr>
            <w:r>
              <w:rPr>
                <w:rFonts w:ascii="Arial" w:eastAsia="Times New Roman" w:hAnsi="Arial" w:cs="Arial"/>
                <w:b/>
                <w:bCs/>
                <w:sz w:val="16"/>
                <w:szCs w:val="16"/>
              </w:rPr>
              <w:t>11.468.268,59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45D91" w14:textId="77777777" w:rsidR="00FE0C5A" w:rsidRDefault="000C18DB" w:rsidP="00F113BD">
            <w:pPr>
              <w:spacing w:after="0"/>
              <w:jc w:val="right"/>
              <w:rPr>
                <w:rFonts w:eastAsia="Times New Roman"/>
              </w:rPr>
            </w:pPr>
            <w:r>
              <w:rPr>
                <w:rFonts w:ascii="Arial" w:eastAsia="Times New Roman" w:hAnsi="Arial" w:cs="Arial"/>
                <w:b/>
                <w:bCs/>
                <w:sz w:val="16"/>
                <w:szCs w:val="16"/>
              </w:rPr>
              <w:t>12.374.660,27</w:t>
            </w:r>
          </w:p>
        </w:tc>
      </w:tr>
    </w:tbl>
    <w:p w14:paraId="7FA49755" w14:textId="77777777" w:rsidR="00FE0C5A" w:rsidRDefault="000C18DB">
      <w:pPr>
        <w:pStyle w:val="NormalWeb"/>
        <w:jc w:val="both"/>
      </w:pPr>
      <w:r>
        <w:rPr>
          <w:rFonts w:ascii="Arial" w:hAnsi="Arial" w:cs="Arial"/>
          <w:sz w:val="20"/>
          <w:szCs w:val="20"/>
        </w:rPr>
        <w:t>b) Saldos das Receitas e Despesas da Cooperativa com o SICOOB CENTRAL CREDIMINAS:</w:t>
      </w:r>
    </w:p>
    <w:tbl>
      <w:tblPr>
        <w:tblW w:w="5000" w:type="pct"/>
        <w:tblCellMar>
          <w:left w:w="0" w:type="dxa"/>
          <w:right w:w="0" w:type="dxa"/>
        </w:tblCellMar>
        <w:tblLook w:val="04A0" w:firstRow="1" w:lastRow="0" w:firstColumn="1" w:lastColumn="0" w:noHBand="0" w:noVBand="1"/>
      </w:tblPr>
      <w:tblGrid>
        <w:gridCol w:w="5550"/>
        <w:gridCol w:w="1392"/>
        <w:gridCol w:w="1523"/>
        <w:gridCol w:w="1523"/>
      </w:tblGrid>
      <w:tr w:rsidR="00FE0C5A" w14:paraId="211804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4EA724"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EF54F"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59A63"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094C4"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34059A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5EB4A4" w14:textId="3401DA16" w:rsidR="00FE0C5A" w:rsidRDefault="000C18DB" w:rsidP="00F113BD">
            <w:pPr>
              <w:spacing w:after="0"/>
              <w:rPr>
                <w:rFonts w:eastAsia="Times New Roman"/>
              </w:rPr>
            </w:pPr>
            <w:r>
              <w:rPr>
                <w:rFonts w:ascii="Arial" w:eastAsia="Times New Roman" w:hAnsi="Arial" w:cs="Arial"/>
                <w:sz w:val="16"/>
                <w:szCs w:val="16"/>
              </w:rPr>
              <w:t xml:space="preserve">Ingressos de Depósitos </w:t>
            </w:r>
            <w:r>
              <w:rPr>
                <w:rFonts w:ascii="Arial" w:eastAsia="Times New Roman" w:hAnsi="Arial" w:cs="Arial"/>
                <w:sz w:val="16"/>
                <w:szCs w:val="16"/>
              </w:rPr>
              <w:t>Intercooperativos</w:t>
            </w:r>
            <w:r w:rsidR="00663642">
              <w:rPr>
                <w:rFonts w:ascii="Arial" w:eastAsia="Times New Roman" w:hAnsi="Arial" w:cs="Arial"/>
                <w:sz w:val="16"/>
                <w:szCs w:val="16"/>
              </w:rPr>
              <w:t xml:space="preserve"> – Nota 4.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4D158" w14:textId="77777777" w:rsidR="00FE0C5A" w:rsidRDefault="000C18DB" w:rsidP="00F113BD">
            <w:pPr>
              <w:spacing w:after="0"/>
              <w:jc w:val="right"/>
              <w:rPr>
                <w:rFonts w:eastAsia="Times New Roman"/>
              </w:rPr>
            </w:pPr>
            <w:r>
              <w:rPr>
                <w:rFonts w:ascii="Arial" w:eastAsia="Times New Roman" w:hAnsi="Arial" w:cs="Arial"/>
                <w:sz w:val="16"/>
                <w:szCs w:val="16"/>
              </w:rPr>
              <w:t>8.436.134,72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FE7AD" w14:textId="77777777" w:rsidR="00FE0C5A" w:rsidRDefault="000C18DB" w:rsidP="00F113BD">
            <w:pPr>
              <w:spacing w:after="0"/>
              <w:jc w:val="right"/>
              <w:rPr>
                <w:rFonts w:eastAsia="Times New Roman"/>
              </w:rPr>
            </w:pPr>
            <w:r>
              <w:rPr>
                <w:rFonts w:ascii="Arial" w:eastAsia="Times New Roman" w:hAnsi="Arial" w:cs="Arial"/>
                <w:sz w:val="16"/>
                <w:szCs w:val="16"/>
              </w:rPr>
              <w:t>14.952.864,74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78EFE" w14:textId="77777777" w:rsidR="00FE0C5A" w:rsidRDefault="000C18DB" w:rsidP="00F113BD">
            <w:pPr>
              <w:spacing w:after="0"/>
              <w:jc w:val="right"/>
              <w:rPr>
                <w:rFonts w:eastAsia="Times New Roman"/>
              </w:rPr>
            </w:pPr>
            <w:r>
              <w:rPr>
                <w:rFonts w:ascii="Arial" w:eastAsia="Times New Roman" w:hAnsi="Arial" w:cs="Arial"/>
                <w:sz w:val="16"/>
                <w:szCs w:val="16"/>
              </w:rPr>
              <w:t>12.887.222,67</w:t>
            </w:r>
          </w:p>
        </w:tc>
      </w:tr>
      <w:tr w:rsidR="00FE0C5A" w14:paraId="067C61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048B12" w14:textId="77777777" w:rsidR="00FE0C5A" w:rsidRDefault="000C18DB" w:rsidP="00F113BD">
            <w:pPr>
              <w:spacing w:after="0"/>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80D54" w14:textId="77777777" w:rsidR="00FE0C5A" w:rsidRDefault="000C18DB" w:rsidP="00F113BD">
            <w:pPr>
              <w:spacing w:after="0"/>
              <w:jc w:val="right"/>
              <w:rPr>
                <w:rFonts w:eastAsia="Times New Roman"/>
              </w:rPr>
            </w:pPr>
            <w:r>
              <w:rPr>
                <w:rFonts w:ascii="Arial" w:eastAsia="Times New Roman" w:hAnsi="Arial" w:cs="Arial"/>
                <w:b/>
                <w:bCs/>
                <w:sz w:val="16"/>
                <w:szCs w:val="16"/>
              </w:rPr>
              <w:t>8.436.134,72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4168C" w14:textId="77777777" w:rsidR="00FE0C5A" w:rsidRDefault="000C18DB" w:rsidP="00F113BD">
            <w:pPr>
              <w:spacing w:after="0"/>
              <w:jc w:val="right"/>
              <w:rPr>
                <w:rFonts w:eastAsia="Times New Roman"/>
              </w:rPr>
            </w:pPr>
            <w:r>
              <w:rPr>
                <w:rFonts w:ascii="Arial" w:eastAsia="Times New Roman" w:hAnsi="Arial" w:cs="Arial"/>
                <w:b/>
                <w:bCs/>
                <w:sz w:val="16"/>
                <w:szCs w:val="16"/>
              </w:rPr>
              <w:t>14.952.864,74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1DA31" w14:textId="77777777" w:rsidR="00FE0C5A" w:rsidRDefault="000C18DB" w:rsidP="00F113BD">
            <w:pPr>
              <w:spacing w:after="0"/>
              <w:jc w:val="right"/>
              <w:rPr>
                <w:rFonts w:eastAsia="Times New Roman"/>
              </w:rPr>
            </w:pPr>
            <w:r>
              <w:rPr>
                <w:rFonts w:ascii="Arial" w:eastAsia="Times New Roman" w:hAnsi="Arial" w:cs="Arial"/>
                <w:b/>
                <w:bCs/>
                <w:sz w:val="16"/>
                <w:szCs w:val="16"/>
              </w:rPr>
              <w:t>12.887.222,67</w:t>
            </w:r>
          </w:p>
        </w:tc>
      </w:tr>
      <w:tr w:rsidR="00FE0C5A" w14:paraId="032C1B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BF7F7B" w14:textId="01C1568B" w:rsidR="00FE0C5A" w:rsidRDefault="000C18DB" w:rsidP="00F113BD">
            <w:pPr>
              <w:spacing w:after="0"/>
              <w:rPr>
                <w:rFonts w:eastAsia="Times New Roman"/>
              </w:rPr>
            </w:pPr>
            <w:r>
              <w:rPr>
                <w:rFonts w:ascii="Arial" w:eastAsia="Times New Roman" w:hAnsi="Arial" w:cs="Arial"/>
                <w:sz w:val="16"/>
                <w:szCs w:val="16"/>
              </w:rPr>
              <w:t>Rateio de Despesas da Central</w:t>
            </w:r>
            <w:r w:rsidR="00663642">
              <w:rPr>
                <w:rFonts w:ascii="Arial" w:eastAsia="Times New Roman" w:hAnsi="Arial" w:cs="Arial"/>
                <w:sz w:val="16"/>
                <w:szCs w:val="16"/>
              </w:rPr>
              <w:t xml:space="preserve"> – Nota 26.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A8560" w14:textId="77777777" w:rsidR="00FE0C5A" w:rsidRDefault="000C18DB" w:rsidP="00F113BD">
            <w:pPr>
              <w:spacing w:after="0"/>
              <w:jc w:val="right"/>
              <w:rPr>
                <w:rFonts w:eastAsia="Times New Roman"/>
              </w:rPr>
            </w:pPr>
            <w:r>
              <w:rPr>
                <w:rFonts w:ascii="Arial" w:eastAsia="Times New Roman" w:hAnsi="Arial" w:cs="Arial"/>
                <w:sz w:val="16"/>
                <w:szCs w:val="16"/>
              </w:rPr>
              <w:t>(237.252,26)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B78BC" w14:textId="77777777" w:rsidR="00FE0C5A" w:rsidRDefault="000C18DB" w:rsidP="00F113BD">
            <w:pPr>
              <w:spacing w:after="0"/>
              <w:jc w:val="right"/>
              <w:rPr>
                <w:rFonts w:eastAsia="Times New Roman"/>
              </w:rPr>
            </w:pPr>
            <w:r>
              <w:rPr>
                <w:rFonts w:ascii="Arial" w:eastAsia="Times New Roman" w:hAnsi="Arial" w:cs="Arial"/>
                <w:sz w:val="16"/>
                <w:szCs w:val="16"/>
              </w:rPr>
              <w:t>(471.497,69)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39B5C" w14:textId="77777777" w:rsidR="00FE0C5A" w:rsidRDefault="000C18DB" w:rsidP="00F113BD">
            <w:pPr>
              <w:spacing w:after="0"/>
              <w:jc w:val="right"/>
              <w:rPr>
                <w:rFonts w:eastAsia="Times New Roman"/>
              </w:rPr>
            </w:pPr>
            <w:r>
              <w:rPr>
                <w:rFonts w:ascii="Arial" w:eastAsia="Times New Roman" w:hAnsi="Arial" w:cs="Arial"/>
                <w:sz w:val="16"/>
                <w:szCs w:val="16"/>
              </w:rPr>
              <w:t>(376.496,76)</w:t>
            </w:r>
          </w:p>
        </w:tc>
      </w:tr>
      <w:tr w:rsidR="00FE0C5A" w14:paraId="6EAAF7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1B3F79" w14:textId="77777777" w:rsidR="00FE0C5A" w:rsidRDefault="000C18DB" w:rsidP="00F113BD">
            <w:pPr>
              <w:spacing w:after="0"/>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EF2A9" w14:textId="77777777" w:rsidR="00FE0C5A" w:rsidRDefault="000C18DB" w:rsidP="00F113BD">
            <w:pPr>
              <w:spacing w:after="0"/>
              <w:jc w:val="right"/>
              <w:rPr>
                <w:rFonts w:eastAsia="Times New Roman"/>
              </w:rPr>
            </w:pPr>
            <w:r>
              <w:rPr>
                <w:rFonts w:ascii="Arial" w:eastAsia="Times New Roman" w:hAnsi="Arial" w:cs="Arial"/>
                <w:b/>
                <w:bCs/>
                <w:sz w:val="16"/>
                <w:szCs w:val="16"/>
              </w:rPr>
              <w:t>(237.252,26)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FDE84" w14:textId="77777777" w:rsidR="00FE0C5A" w:rsidRDefault="000C18DB" w:rsidP="00F113BD">
            <w:pPr>
              <w:spacing w:after="0"/>
              <w:jc w:val="right"/>
              <w:rPr>
                <w:rFonts w:eastAsia="Times New Roman"/>
              </w:rPr>
            </w:pPr>
            <w:r>
              <w:rPr>
                <w:rFonts w:ascii="Arial" w:eastAsia="Times New Roman" w:hAnsi="Arial" w:cs="Arial"/>
                <w:b/>
                <w:bCs/>
                <w:sz w:val="16"/>
                <w:szCs w:val="16"/>
              </w:rPr>
              <w:t>(471.497,69)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82C5E" w14:textId="77777777" w:rsidR="00FE0C5A" w:rsidRDefault="000C18DB" w:rsidP="00F113BD">
            <w:pPr>
              <w:spacing w:after="0"/>
              <w:jc w:val="right"/>
              <w:rPr>
                <w:rFonts w:eastAsia="Times New Roman"/>
              </w:rPr>
            </w:pPr>
            <w:r>
              <w:rPr>
                <w:rFonts w:ascii="Arial" w:eastAsia="Times New Roman" w:hAnsi="Arial" w:cs="Arial"/>
                <w:b/>
                <w:bCs/>
                <w:sz w:val="16"/>
                <w:szCs w:val="16"/>
              </w:rPr>
              <w:t>(376.496,76)</w:t>
            </w:r>
          </w:p>
        </w:tc>
      </w:tr>
    </w:tbl>
    <w:p w14:paraId="0E33906E" w14:textId="1E6DFDF5" w:rsidR="00FE0C5A" w:rsidRDefault="00663642">
      <w:pPr>
        <w:pStyle w:val="NormalWeb"/>
        <w:jc w:val="both"/>
      </w:pPr>
      <w:r>
        <w:rPr>
          <w:rFonts w:ascii="Arial" w:hAnsi="Arial" w:cs="Arial"/>
          <w:b/>
          <w:bCs/>
          <w:sz w:val="20"/>
          <w:szCs w:val="20"/>
        </w:rPr>
        <w:t>34. Índice de Basileia</w:t>
      </w:r>
    </w:p>
    <w:p w14:paraId="6B388F3F" w14:textId="7CB45739" w:rsidR="00FE0C5A" w:rsidRDefault="000C18DB">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70" w:type="dxa"/>
          <w:right w:w="70" w:type="dxa"/>
        </w:tblCellMar>
        <w:tblLook w:val="04A0" w:firstRow="1" w:lastRow="0" w:firstColumn="1" w:lastColumn="0" w:noHBand="0" w:noVBand="1"/>
      </w:tblPr>
      <w:tblGrid>
        <w:gridCol w:w="5331"/>
        <w:gridCol w:w="2465"/>
        <w:gridCol w:w="2316"/>
      </w:tblGrid>
      <w:tr w:rsidR="00663642" w:rsidRPr="00663642" w14:paraId="53BAD531" w14:textId="77777777" w:rsidTr="00663642">
        <w:trPr>
          <w:trHeight w:val="300"/>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63DD6" w14:textId="77777777" w:rsidR="00663642" w:rsidRPr="00663642" w:rsidRDefault="00663642" w:rsidP="00663642">
            <w:pPr>
              <w:spacing w:after="0" w:line="240" w:lineRule="auto"/>
              <w:jc w:val="center"/>
              <w:rPr>
                <w:rFonts w:ascii="Arial" w:eastAsia="Times New Roman" w:hAnsi="Arial" w:cs="Arial"/>
                <w:b/>
                <w:bCs/>
                <w:color w:val="000000"/>
                <w:kern w:val="0"/>
                <w:sz w:val="16"/>
                <w:szCs w:val="16"/>
                <w14:ligatures w14:val="none"/>
              </w:rPr>
            </w:pPr>
            <w:r w:rsidRPr="00663642">
              <w:rPr>
                <w:rFonts w:ascii="Arial" w:eastAsia="Times New Roman" w:hAnsi="Arial" w:cs="Arial"/>
                <w:b/>
                <w:bCs/>
                <w:color w:val="000000"/>
                <w:kern w:val="0"/>
                <w:sz w:val="16"/>
                <w:szCs w:val="16"/>
                <w14:ligatures w14:val="none"/>
              </w:rPr>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259EFD0E" w14:textId="77777777" w:rsidR="00663642" w:rsidRPr="00663642" w:rsidRDefault="00663642" w:rsidP="00663642">
            <w:pPr>
              <w:spacing w:after="0" w:line="240" w:lineRule="auto"/>
              <w:jc w:val="center"/>
              <w:rPr>
                <w:rFonts w:ascii="Arial" w:eastAsia="Times New Roman" w:hAnsi="Arial" w:cs="Arial"/>
                <w:b/>
                <w:bCs/>
                <w:color w:val="000000"/>
                <w:kern w:val="0"/>
                <w:sz w:val="16"/>
                <w:szCs w:val="16"/>
                <w14:ligatures w14:val="none"/>
              </w:rPr>
            </w:pPr>
            <w:r w:rsidRPr="00663642">
              <w:rPr>
                <w:rFonts w:ascii="Arial" w:eastAsia="Times New Roman" w:hAnsi="Arial" w:cs="Arial"/>
                <w:b/>
                <w:bCs/>
                <w:color w:val="000000"/>
                <w:kern w:val="0"/>
                <w:sz w:val="16"/>
                <w:szCs w:val="16"/>
                <w14:ligatures w14:val="none"/>
              </w:rPr>
              <w:t>31/12/2023</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5F5ED268" w14:textId="77777777" w:rsidR="00663642" w:rsidRPr="00663642" w:rsidRDefault="00663642" w:rsidP="00663642">
            <w:pPr>
              <w:spacing w:after="0" w:line="240" w:lineRule="auto"/>
              <w:jc w:val="center"/>
              <w:rPr>
                <w:rFonts w:ascii="Arial" w:eastAsia="Times New Roman" w:hAnsi="Arial" w:cs="Arial"/>
                <w:b/>
                <w:bCs/>
                <w:color w:val="000000"/>
                <w:kern w:val="0"/>
                <w:sz w:val="16"/>
                <w:szCs w:val="16"/>
                <w14:ligatures w14:val="none"/>
              </w:rPr>
            </w:pPr>
            <w:r w:rsidRPr="00663642">
              <w:rPr>
                <w:rFonts w:ascii="Arial" w:eastAsia="Times New Roman" w:hAnsi="Arial" w:cs="Arial"/>
                <w:b/>
                <w:bCs/>
                <w:color w:val="000000"/>
                <w:kern w:val="0"/>
                <w:sz w:val="16"/>
                <w:szCs w:val="16"/>
                <w14:ligatures w14:val="none"/>
              </w:rPr>
              <w:t>31/12/2022</w:t>
            </w:r>
          </w:p>
        </w:tc>
      </w:tr>
      <w:tr w:rsidR="00663642" w:rsidRPr="00663642" w14:paraId="0F0A6A4D" w14:textId="77777777" w:rsidTr="00663642">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4191AAD8" w14:textId="77777777" w:rsidR="00663642" w:rsidRPr="00663642" w:rsidRDefault="00663642" w:rsidP="00663642">
            <w:pPr>
              <w:spacing w:after="0" w:line="240" w:lineRule="auto"/>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lastRenderedPageBreak/>
              <w:t>Patrimônio de referência (PR)</w:t>
            </w:r>
          </w:p>
        </w:tc>
        <w:tc>
          <w:tcPr>
            <w:tcW w:w="1219" w:type="pct"/>
            <w:tcBorders>
              <w:top w:val="nil"/>
              <w:left w:val="nil"/>
              <w:bottom w:val="single" w:sz="4" w:space="0" w:color="auto"/>
              <w:right w:val="single" w:sz="4" w:space="0" w:color="auto"/>
            </w:tcBorders>
            <w:shd w:val="clear" w:color="auto" w:fill="auto"/>
            <w:vAlign w:val="center"/>
            <w:hideMark/>
          </w:tcPr>
          <w:p w14:paraId="0C53E57B" w14:textId="77777777" w:rsidR="00663642" w:rsidRPr="00663642" w:rsidRDefault="00663642" w:rsidP="00663642">
            <w:pPr>
              <w:spacing w:after="0" w:line="240" w:lineRule="auto"/>
              <w:jc w:val="right"/>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 xml:space="preserve">              45.456.154,80 </w:t>
            </w:r>
          </w:p>
        </w:tc>
        <w:tc>
          <w:tcPr>
            <w:tcW w:w="1145" w:type="pct"/>
            <w:tcBorders>
              <w:top w:val="nil"/>
              <w:left w:val="nil"/>
              <w:bottom w:val="single" w:sz="4" w:space="0" w:color="auto"/>
              <w:right w:val="single" w:sz="4" w:space="0" w:color="auto"/>
            </w:tcBorders>
            <w:shd w:val="clear" w:color="auto" w:fill="auto"/>
            <w:vAlign w:val="center"/>
            <w:hideMark/>
          </w:tcPr>
          <w:p w14:paraId="09975E54" w14:textId="77777777" w:rsidR="00663642" w:rsidRPr="00663642" w:rsidRDefault="00663642" w:rsidP="00663642">
            <w:pPr>
              <w:spacing w:after="0" w:line="240" w:lineRule="auto"/>
              <w:jc w:val="right"/>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 xml:space="preserve">           36.984.106,55 </w:t>
            </w:r>
          </w:p>
        </w:tc>
      </w:tr>
      <w:tr w:rsidR="00663642" w:rsidRPr="00663642" w14:paraId="71E8FF05" w14:textId="77777777" w:rsidTr="00663642">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1D9CBEC7" w14:textId="77777777" w:rsidR="00663642" w:rsidRPr="00663642" w:rsidRDefault="00663642" w:rsidP="00663642">
            <w:pPr>
              <w:spacing w:after="0" w:line="240" w:lineRule="auto"/>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Ativos Ponderados pelo Risco (RWA)</w:t>
            </w:r>
          </w:p>
        </w:tc>
        <w:tc>
          <w:tcPr>
            <w:tcW w:w="1219" w:type="pct"/>
            <w:tcBorders>
              <w:top w:val="nil"/>
              <w:left w:val="nil"/>
              <w:bottom w:val="single" w:sz="4" w:space="0" w:color="auto"/>
              <w:right w:val="single" w:sz="4" w:space="0" w:color="auto"/>
            </w:tcBorders>
            <w:shd w:val="clear" w:color="auto" w:fill="auto"/>
            <w:vAlign w:val="center"/>
            <w:hideMark/>
          </w:tcPr>
          <w:p w14:paraId="214F919E" w14:textId="77777777" w:rsidR="00663642" w:rsidRPr="00663642" w:rsidRDefault="00663642" w:rsidP="00663642">
            <w:pPr>
              <w:spacing w:after="0" w:line="240" w:lineRule="auto"/>
              <w:jc w:val="right"/>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 xml:space="preserve">           237.692.859,08 </w:t>
            </w:r>
          </w:p>
        </w:tc>
        <w:tc>
          <w:tcPr>
            <w:tcW w:w="1145" w:type="pct"/>
            <w:tcBorders>
              <w:top w:val="nil"/>
              <w:left w:val="nil"/>
              <w:bottom w:val="single" w:sz="4" w:space="0" w:color="auto"/>
              <w:right w:val="single" w:sz="4" w:space="0" w:color="auto"/>
            </w:tcBorders>
            <w:shd w:val="clear" w:color="auto" w:fill="auto"/>
            <w:vAlign w:val="center"/>
            <w:hideMark/>
          </w:tcPr>
          <w:p w14:paraId="04920C28" w14:textId="77777777" w:rsidR="00663642" w:rsidRPr="00663642" w:rsidRDefault="00663642" w:rsidP="00663642">
            <w:pPr>
              <w:spacing w:after="0" w:line="240" w:lineRule="auto"/>
              <w:jc w:val="right"/>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 xml:space="preserve">         195.570.012,42 </w:t>
            </w:r>
          </w:p>
        </w:tc>
      </w:tr>
      <w:tr w:rsidR="00663642" w:rsidRPr="00663642" w14:paraId="04601E51" w14:textId="77777777" w:rsidTr="00663642">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128C4E44" w14:textId="77777777" w:rsidR="00663642" w:rsidRPr="00663642" w:rsidRDefault="00663642" w:rsidP="00663642">
            <w:pPr>
              <w:spacing w:after="0" w:line="240" w:lineRule="auto"/>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Índice de Basiléia (mínimo 12%) %</w:t>
            </w:r>
          </w:p>
        </w:tc>
        <w:tc>
          <w:tcPr>
            <w:tcW w:w="1219" w:type="pct"/>
            <w:tcBorders>
              <w:top w:val="nil"/>
              <w:left w:val="nil"/>
              <w:bottom w:val="single" w:sz="4" w:space="0" w:color="auto"/>
              <w:right w:val="single" w:sz="4" w:space="0" w:color="auto"/>
            </w:tcBorders>
            <w:shd w:val="clear" w:color="auto" w:fill="auto"/>
            <w:vAlign w:val="center"/>
            <w:hideMark/>
          </w:tcPr>
          <w:p w14:paraId="2BA34C77" w14:textId="77777777" w:rsidR="00663642" w:rsidRPr="00663642" w:rsidRDefault="00663642" w:rsidP="00663642">
            <w:pPr>
              <w:spacing w:after="0" w:line="240" w:lineRule="auto"/>
              <w:jc w:val="right"/>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19,12</w:t>
            </w:r>
          </w:p>
        </w:tc>
        <w:tc>
          <w:tcPr>
            <w:tcW w:w="1145" w:type="pct"/>
            <w:tcBorders>
              <w:top w:val="nil"/>
              <w:left w:val="nil"/>
              <w:bottom w:val="single" w:sz="4" w:space="0" w:color="auto"/>
              <w:right w:val="single" w:sz="4" w:space="0" w:color="auto"/>
            </w:tcBorders>
            <w:shd w:val="clear" w:color="auto" w:fill="auto"/>
            <w:vAlign w:val="center"/>
            <w:hideMark/>
          </w:tcPr>
          <w:p w14:paraId="32B928D4" w14:textId="77777777" w:rsidR="00663642" w:rsidRPr="00663642" w:rsidRDefault="00663642" w:rsidP="00663642">
            <w:pPr>
              <w:spacing w:after="0" w:line="240" w:lineRule="auto"/>
              <w:jc w:val="right"/>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18,91</w:t>
            </w:r>
          </w:p>
        </w:tc>
      </w:tr>
      <w:tr w:rsidR="00663642" w:rsidRPr="00663642" w14:paraId="3FB91C5F" w14:textId="77777777" w:rsidTr="00663642">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7677BFF8" w14:textId="77777777" w:rsidR="00663642" w:rsidRPr="00663642" w:rsidRDefault="00663642" w:rsidP="00663642">
            <w:pPr>
              <w:spacing w:after="0" w:line="240" w:lineRule="auto"/>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Imobilizado para cálculo do limite</w:t>
            </w:r>
          </w:p>
        </w:tc>
        <w:tc>
          <w:tcPr>
            <w:tcW w:w="1219" w:type="pct"/>
            <w:tcBorders>
              <w:top w:val="nil"/>
              <w:left w:val="nil"/>
              <w:bottom w:val="single" w:sz="4" w:space="0" w:color="auto"/>
              <w:right w:val="single" w:sz="4" w:space="0" w:color="auto"/>
            </w:tcBorders>
            <w:shd w:val="clear" w:color="auto" w:fill="auto"/>
            <w:vAlign w:val="center"/>
            <w:hideMark/>
          </w:tcPr>
          <w:p w14:paraId="6B0C9649" w14:textId="77777777" w:rsidR="00663642" w:rsidRPr="00663642" w:rsidRDefault="00663642" w:rsidP="00663642">
            <w:pPr>
              <w:spacing w:after="0" w:line="240" w:lineRule="auto"/>
              <w:jc w:val="right"/>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 xml:space="preserve">                6.251.641,74 </w:t>
            </w:r>
          </w:p>
        </w:tc>
        <w:tc>
          <w:tcPr>
            <w:tcW w:w="1145" w:type="pct"/>
            <w:tcBorders>
              <w:top w:val="nil"/>
              <w:left w:val="nil"/>
              <w:bottom w:val="single" w:sz="4" w:space="0" w:color="auto"/>
              <w:right w:val="single" w:sz="4" w:space="0" w:color="auto"/>
            </w:tcBorders>
            <w:shd w:val="clear" w:color="auto" w:fill="auto"/>
            <w:vAlign w:val="center"/>
            <w:hideMark/>
          </w:tcPr>
          <w:p w14:paraId="5CEE5ED6" w14:textId="77777777" w:rsidR="00663642" w:rsidRPr="00663642" w:rsidRDefault="00663642" w:rsidP="00663642">
            <w:pPr>
              <w:spacing w:after="0" w:line="240" w:lineRule="auto"/>
              <w:jc w:val="right"/>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 xml:space="preserve">             5.926.692,07 </w:t>
            </w:r>
          </w:p>
        </w:tc>
      </w:tr>
      <w:tr w:rsidR="00663642" w:rsidRPr="00663642" w14:paraId="4C17C17A" w14:textId="77777777" w:rsidTr="00663642">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3B82402E" w14:textId="77777777" w:rsidR="00663642" w:rsidRPr="00663642" w:rsidRDefault="00663642" w:rsidP="00663642">
            <w:pPr>
              <w:spacing w:after="0" w:line="240" w:lineRule="auto"/>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Índice de imobilização (limite 50%) %</w:t>
            </w:r>
          </w:p>
        </w:tc>
        <w:tc>
          <w:tcPr>
            <w:tcW w:w="1219" w:type="pct"/>
            <w:tcBorders>
              <w:top w:val="nil"/>
              <w:left w:val="nil"/>
              <w:bottom w:val="single" w:sz="4" w:space="0" w:color="auto"/>
              <w:right w:val="single" w:sz="4" w:space="0" w:color="auto"/>
            </w:tcBorders>
            <w:shd w:val="clear" w:color="auto" w:fill="auto"/>
            <w:vAlign w:val="center"/>
            <w:hideMark/>
          </w:tcPr>
          <w:p w14:paraId="0EE4EC1F" w14:textId="77777777" w:rsidR="00663642" w:rsidRPr="00663642" w:rsidRDefault="00663642" w:rsidP="00663642">
            <w:pPr>
              <w:spacing w:after="0" w:line="240" w:lineRule="auto"/>
              <w:jc w:val="right"/>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13,75</w:t>
            </w:r>
          </w:p>
        </w:tc>
        <w:tc>
          <w:tcPr>
            <w:tcW w:w="1145" w:type="pct"/>
            <w:tcBorders>
              <w:top w:val="nil"/>
              <w:left w:val="nil"/>
              <w:bottom w:val="single" w:sz="4" w:space="0" w:color="auto"/>
              <w:right w:val="single" w:sz="4" w:space="0" w:color="auto"/>
            </w:tcBorders>
            <w:shd w:val="clear" w:color="auto" w:fill="auto"/>
            <w:vAlign w:val="center"/>
            <w:hideMark/>
          </w:tcPr>
          <w:p w14:paraId="7F4318B5" w14:textId="77777777" w:rsidR="00663642" w:rsidRPr="00663642" w:rsidRDefault="00663642" w:rsidP="00663642">
            <w:pPr>
              <w:spacing w:after="0" w:line="240" w:lineRule="auto"/>
              <w:jc w:val="right"/>
              <w:rPr>
                <w:rFonts w:ascii="Arial" w:eastAsia="Times New Roman" w:hAnsi="Arial" w:cs="Arial"/>
                <w:color w:val="000000"/>
                <w:kern w:val="0"/>
                <w:sz w:val="16"/>
                <w:szCs w:val="16"/>
                <w14:ligatures w14:val="none"/>
              </w:rPr>
            </w:pPr>
            <w:r w:rsidRPr="00663642">
              <w:rPr>
                <w:rFonts w:ascii="Arial" w:eastAsia="Times New Roman" w:hAnsi="Arial" w:cs="Arial"/>
                <w:color w:val="000000"/>
                <w:kern w:val="0"/>
                <w:sz w:val="16"/>
                <w:szCs w:val="16"/>
                <w14:ligatures w14:val="none"/>
              </w:rPr>
              <w:t>16,02</w:t>
            </w:r>
          </w:p>
        </w:tc>
      </w:tr>
    </w:tbl>
    <w:p w14:paraId="51E58531" w14:textId="70E9F586" w:rsidR="00FE0C5A" w:rsidRDefault="00663642">
      <w:pPr>
        <w:pStyle w:val="NormalWeb"/>
        <w:jc w:val="both"/>
      </w:pPr>
      <w:r>
        <w:rPr>
          <w:rFonts w:ascii="Arial" w:hAnsi="Arial" w:cs="Arial"/>
          <w:b/>
          <w:bCs/>
          <w:sz w:val="20"/>
          <w:szCs w:val="20"/>
        </w:rPr>
        <w:t>35. Benefícios a Empregados</w:t>
      </w:r>
    </w:p>
    <w:p w14:paraId="6D3385C9" w14:textId="77777777" w:rsidR="00FE0C5A" w:rsidRDefault="000C18DB">
      <w:pPr>
        <w:pStyle w:val="NormalWeb"/>
        <w:jc w:val="both"/>
      </w:pPr>
      <w:r>
        <w:rPr>
          <w:rFonts w:ascii="Arial" w:hAnsi="Arial" w:cs="Arial"/>
          <w:sz w:val="20"/>
          <w:szCs w:val="20"/>
        </w:rPr>
        <w:t>A Cooperativa é patrocinadora de um plano de previdência complementar para seus empregados, na modalidade de contribuição definida. O plano é administrado pela Fundação Sicoob de Previdência Privada – Sicoob Previ.</w:t>
      </w:r>
    </w:p>
    <w:p w14:paraId="6CA059D1" w14:textId="77777777" w:rsidR="00FE0C5A" w:rsidRDefault="000C18DB">
      <w:pPr>
        <w:pStyle w:val="NormalWeb"/>
        <w:jc w:val="both"/>
      </w:pPr>
      <w:r>
        <w:rPr>
          <w:rFonts w:ascii="Arial" w:hAnsi="Arial" w:cs="Arial"/>
          <w:sz w:val="20"/>
          <w:szCs w:val="20"/>
        </w:rPr>
        <w:t>A Cooperativa não possui benefícios de pós emprego a seus empregados, conforme definições do Pronunciamento Técnico CPC 33 (R1), apenas benefícios de curto prazo, conforme montantes apresentados a seguir:</w:t>
      </w:r>
    </w:p>
    <w:tbl>
      <w:tblPr>
        <w:tblW w:w="5000" w:type="pct"/>
        <w:tblCellMar>
          <w:left w:w="0" w:type="dxa"/>
          <w:right w:w="0" w:type="dxa"/>
        </w:tblCellMar>
        <w:tblLook w:val="04A0" w:firstRow="1" w:lastRow="0" w:firstColumn="1" w:lastColumn="0" w:noHBand="0" w:noVBand="1"/>
      </w:tblPr>
      <w:tblGrid>
        <w:gridCol w:w="4809"/>
        <w:gridCol w:w="1575"/>
        <w:gridCol w:w="1802"/>
        <w:gridCol w:w="1802"/>
      </w:tblGrid>
      <w:tr w:rsidR="00FE0C5A" w14:paraId="73E7E0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A2930C" w14:textId="77777777" w:rsidR="00FE0C5A" w:rsidRDefault="000C18DB" w:rsidP="00F113BD">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01166" w14:textId="77777777" w:rsidR="00FE0C5A" w:rsidRDefault="000C18DB" w:rsidP="00F113BD">
            <w:pPr>
              <w:spacing w:after="0"/>
              <w:jc w:val="center"/>
              <w:rPr>
                <w:rFonts w:eastAsia="Times New Roman"/>
              </w:rPr>
            </w:pPr>
            <w:r>
              <w:rPr>
                <w:rFonts w:ascii="Arial" w:eastAsia="Times New Roman" w:hAnsi="Arial" w:cs="Arial"/>
                <w:b/>
                <w:bCs/>
                <w:sz w:val="16"/>
                <w:szCs w:val="16"/>
              </w:rPr>
              <w:t>2º sem/23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827F6" w14:textId="77777777" w:rsidR="00FE0C5A" w:rsidRDefault="000C18DB" w:rsidP="00F113BD">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1BACC" w14:textId="77777777" w:rsidR="00FE0C5A" w:rsidRDefault="000C18DB" w:rsidP="00F113BD">
            <w:pPr>
              <w:spacing w:after="0"/>
              <w:jc w:val="center"/>
              <w:rPr>
                <w:rFonts w:eastAsia="Times New Roman"/>
              </w:rPr>
            </w:pPr>
            <w:r>
              <w:rPr>
                <w:rFonts w:ascii="Arial" w:eastAsia="Times New Roman" w:hAnsi="Arial" w:cs="Arial"/>
                <w:b/>
                <w:bCs/>
                <w:sz w:val="16"/>
                <w:szCs w:val="16"/>
              </w:rPr>
              <w:t>31/12/2022</w:t>
            </w:r>
          </w:p>
        </w:tc>
      </w:tr>
      <w:tr w:rsidR="00FE0C5A" w14:paraId="687FAE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ADB700" w14:textId="77777777" w:rsidR="00FE0C5A" w:rsidRDefault="000C18DB" w:rsidP="00F113BD">
            <w:pPr>
              <w:spacing w:after="0"/>
              <w:rPr>
                <w:rFonts w:eastAsia="Times New Roman"/>
              </w:rPr>
            </w:pPr>
            <w:r>
              <w:rPr>
                <w:rFonts w:ascii="Arial" w:eastAsia="Times New Roman" w:hAnsi="Arial" w:cs="Arial"/>
                <w:sz w:val="16"/>
                <w:szCs w:val="16"/>
              </w:rPr>
              <w:t>Assistência médica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2440F" w14:textId="77777777" w:rsidR="00FE0C5A" w:rsidRDefault="000C18DB" w:rsidP="00F113BD">
            <w:pPr>
              <w:spacing w:after="0"/>
              <w:jc w:val="right"/>
              <w:rPr>
                <w:rFonts w:eastAsia="Times New Roman"/>
              </w:rPr>
            </w:pPr>
            <w:r>
              <w:rPr>
                <w:rFonts w:ascii="Arial" w:eastAsia="Times New Roman" w:hAnsi="Arial" w:cs="Arial"/>
                <w:sz w:val="16"/>
                <w:szCs w:val="16"/>
              </w:rPr>
              <w:t>(138.159,83)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9AAC0" w14:textId="77777777" w:rsidR="00FE0C5A" w:rsidRDefault="000C18DB" w:rsidP="00F113BD">
            <w:pPr>
              <w:spacing w:after="0"/>
              <w:jc w:val="right"/>
              <w:rPr>
                <w:rFonts w:eastAsia="Times New Roman"/>
              </w:rPr>
            </w:pPr>
            <w:r>
              <w:rPr>
                <w:rFonts w:ascii="Arial" w:eastAsia="Times New Roman" w:hAnsi="Arial" w:cs="Arial"/>
                <w:sz w:val="16"/>
                <w:szCs w:val="16"/>
              </w:rPr>
              <w:t>(268.387,96)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83D2E" w14:textId="77777777" w:rsidR="00FE0C5A" w:rsidRDefault="000C18DB" w:rsidP="00F113BD">
            <w:pPr>
              <w:spacing w:after="0"/>
              <w:jc w:val="right"/>
              <w:rPr>
                <w:rFonts w:eastAsia="Times New Roman"/>
              </w:rPr>
            </w:pPr>
            <w:r>
              <w:rPr>
                <w:rFonts w:ascii="Arial" w:eastAsia="Times New Roman" w:hAnsi="Arial" w:cs="Arial"/>
                <w:sz w:val="16"/>
                <w:szCs w:val="16"/>
              </w:rPr>
              <w:t>(229.569,24)</w:t>
            </w:r>
          </w:p>
        </w:tc>
      </w:tr>
      <w:tr w:rsidR="00FE0C5A" w14:paraId="687964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51A093" w14:textId="77777777" w:rsidR="00FE0C5A" w:rsidRDefault="000C18DB" w:rsidP="00F113BD">
            <w:pPr>
              <w:spacing w:after="0"/>
              <w:rPr>
                <w:rFonts w:eastAsia="Times New Roman"/>
              </w:rPr>
            </w:pPr>
            <w:r>
              <w:rPr>
                <w:rFonts w:ascii="Arial" w:eastAsia="Times New Roman" w:hAnsi="Arial" w:cs="Arial"/>
                <w:sz w:val="16"/>
                <w:szCs w:val="16"/>
              </w:rPr>
              <w:t>Alimentação do trabalhador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9E479" w14:textId="77777777" w:rsidR="00FE0C5A" w:rsidRDefault="000C18DB" w:rsidP="00F113BD">
            <w:pPr>
              <w:spacing w:after="0"/>
              <w:jc w:val="right"/>
              <w:rPr>
                <w:rFonts w:eastAsia="Times New Roman"/>
              </w:rPr>
            </w:pPr>
            <w:r>
              <w:rPr>
                <w:rFonts w:ascii="Arial" w:eastAsia="Times New Roman" w:hAnsi="Arial" w:cs="Arial"/>
                <w:sz w:val="16"/>
                <w:szCs w:val="16"/>
              </w:rPr>
              <w:t>(558.826,37)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EAADB" w14:textId="77777777" w:rsidR="00FE0C5A" w:rsidRDefault="000C18DB" w:rsidP="00F113BD">
            <w:pPr>
              <w:spacing w:after="0"/>
              <w:jc w:val="right"/>
              <w:rPr>
                <w:rFonts w:eastAsia="Times New Roman"/>
              </w:rPr>
            </w:pPr>
            <w:r>
              <w:rPr>
                <w:rFonts w:ascii="Arial" w:eastAsia="Times New Roman" w:hAnsi="Arial" w:cs="Arial"/>
                <w:sz w:val="16"/>
                <w:szCs w:val="16"/>
              </w:rPr>
              <w:t>(1.072.477,48)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D7689" w14:textId="77777777" w:rsidR="00FE0C5A" w:rsidRDefault="000C18DB" w:rsidP="00F113BD">
            <w:pPr>
              <w:spacing w:after="0"/>
              <w:jc w:val="right"/>
              <w:rPr>
                <w:rFonts w:eastAsia="Times New Roman"/>
              </w:rPr>
            </w:pPr>
            <w:r>
              <w:rPr>
                <w:rFonts w:ascii="Arial" w:eastAsia="Times New Roman" w:hAnsi="Arial" w:cs="Arial"/>
                <w:sz w:val="16"/>
                <w:szCs w:val="16"/>
              </w:rPr>
              <w:t>(901.746,10)</w:t>
            </w:r>
          </w:p>
        </w:tc>
      </w:tr>
      <w:tr w:rsidR="00FE0C5A" w14:paraId="711E44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FF1692" w14:textId="77777777" w:rsidR="00FE0C5A" w:rsidRDefault="000C18DB" w:rsidP="00F113BD">
            <w:pPr>
              <w:spacing w:after="0"/>
              <w:rPr>
                <w:rFonts w:eastAsia="Times New Roman"/>
              </w:rPr>
            </w:pPr>
            <w:r>
              <w:rPr>
                <w:rFonts w:ascii="Arial" w:eastAsia="Times New Roman" w:hAnsi="Arial" w:cs="Arial"/>
                <w:sz w:val="16"/>
                <w:szCs w:val="16"/>
              </w:rPr>
              <w:t>Vale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19117"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80616" w14:textId="77777777" w:rsidR="00FE0C5A" w:rsidRDefault="000C18DB" w:rsidP="00F113BD">
            <w:pPr>
              <w:spacing w:after="0"/>
              <w:jc w:val="right"/>
              <w:rPr>
                <w:rFonts w:eastAsia="Times New Roman"/>
              </w:rPr>
            </w:pPr>
            <w:r>
              <w:rPr>
                <w:rFonts w:ascii="Arial" w:eastAsia="Times New Roman" w:hAnsi="Arial" w:cs="Arial"/>
                <w:sz w:val="16"/>
                <w:szCs w:val="16"/>
              </w:rPr>
              <w:t>(1.311,18)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E2E98" w14:textId="77777777" w:rsidR="00FE0C5A" w:rsidRDefault="000C18DB" w:rsidP="00F113BD">
            <w:pPr>
              <w:spacing w:after="0"/>
              <w:jc w:val="right"/>
              <w:rPr>
                <w:rFonts w:eastAsia="Times New Roman"/>
              </w:rPr>
            </w:pPr>
            <w:r>
              <w:rPr>
                <w:rFonts w:ascii="Arial" w:eastAsia="Times New Roman" w:hAnsi="Arial" w:cs="Arial"/>
                <w:sz w:val="16"/>
                <w:szCs w:val="16"/>
              </w:rPr>
              <w:t>(1.231,56)</w:t>
            </w:r>
          </w:p>
        </w:tc>
      </w:tr>
      <w:tr w:rsidR="00FE0C5A" w14:paraId="25B63B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300C74" w14:textId="77777777" w:rsidR="00FE0C5A" w:rsidRDefault="000C18DB" w:rsidP="00F113BD">
            <w:pPr>
              <w:spacing w:after="0"/>
              <w:rPr>
                <w:rFonts w:eastAsia="Times New Roman"/>
              </w:rPr>
            </w:pPr>
            <w:r>
              <w:rPr>
                <w:rFonts w:ascii="Arial" w:eastAsia="Times New Roman" w:hAnsi="Arial" w:cs="Arial"/>
                <w:sz w:val="16"/>
                <w:szCs w:val="16"/>
              </w:rPr>
              <w:t>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A91FD" w14:textId="77777777" w:rsidR="00FE0C5A" w:rsidRDefault="000C18DB" w:rsidP="00F113BD">
            <w:pPr>
              <w:spacing w:after="0"/>
              <w:jc w:val="right"/>
              <w:rPr>
                <w:rFonts w:eastAsia="Times New Roman"/>
              </w:rPr>
            </w:pPr>
            <w:r>
              <w:rPr>
                <w:rFonts w:ascii="Arial" w:eastAsia="Times New Roman" w:hAnsi="Arial" w:cs="Arial"/>
                <w:sz w:val="16"/>
                <w:szCs w:val="16"/>
              </w:rPr>
              <w:t>(10.888,02)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F5433" w14:textId="77777777" w:rsidR="00FE0C5A" w:rsidRDefault="000C18DB" w:rsidP="00F113BD">
            <w:pPr>
              <w:spacing w:after="0"/>
              <w:jc w:val="right"/>
              <w:rPr>
                <w:rFonts w:eastAsia="Times New Roman"/>
              </w:rPr>
            </w:pPr>
            <w:r>
              <w:rPr>
                <w:rFonts w:ascii="Arial" w:eastAsia="Times New Roman" w:hAnsi="Arial" w:cs="Arial"/>
                <w:sz w:val="16"/>
                <w:szCs w:val="16"/>
              </w:rPr>
              <w:t>(25.178,54)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E18B3" w14:textId="77777777" w:rsidR="00FE0C5A" w:rsidRDefault="000C18DB" w:rsidP="00F113BD">
            <w:pPr>
              <w:spacing w:after="0"/>
              <w:jc w:val="right"/>
              <w:rPr>
                <w:rFonts w:eastAsia="Times New Roman"/>
              </w:rPr>
            </w:pPr>
            <w:r>
              <w:rPr>
                <w:rFonts w:ascii="Arial" w:eastAsia="Times New Roman" w:hAnsi="Arial" w:cs="Arial"/>
                <w:sz w:val="16"/>
                <w:szCs w:val="16"/>
              </w:rPr>
              <w:t>(24.126,88)</w:t>
            </w:r>
          </w:p>
        </w:tc>
      </w:tr>
      <w:tr w:rsidR="00FE0C5A" w14:paraId="78E194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0FF1F7" w14:textId="77777777" w:rsidR="00FE0C5A" w:rsidRDefault="000C18DB" w:rsidP="00F113BD">
            <w:pPr>
              <w:spacing w:after="0"/>
              <w:rPr>
                <w:rFonts w:eastAsia="Times New Roman"/>
              </w:rPr>
            </w:pPr>
            <w:r>
              <w:rPr>
                <w:rFonts w:ascii="Arial" w:eastAsia="Times New Roman" w:hAnsi="Arial" w:cs="Arial"/>
                <w:sz w:val="16"/>
                <w:szCs w:val="16"/>
              </w:rPr>
              <w:t>Auxílio creche/babá</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27DC1" w14:textId="77777777" w:rsidR="00FE0C5A" w:rsidRDefault="000C18DB" w:rsidP="00F113BD">
            <w:pPr>
              <w:spacing w:after="0"/>
              <w:jc w:val="right"/>
              <w:rPr>
                <w:rFonts w:eastAsia="Times New Roman"/>
              </w:rPr>
            </w:pPr>
            <w:r>
              <w:rPr>
                <w:rFonts w:ascii="Arial" w:eastAsia="Times New Roman" w:hAnsi="Arial" w:cs="Arial"/>
                <w:sz w:val="16"/>
                <w:szCs w:val="16"/>
              </w:rPr>
              <w:t>(16.159,23)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F139A" w14:textId="77777777" w:rsidR="00FE0C5A" w:rsidRDefault="000C18DB" w:rsidP="00F113BD">
            <w:pPr>
              <w:spacing w:after="0"/>
              <w:jc w:val="right"/>
              <w:rPr>
                <w:rFonts w:eastAsia="Times New Roman"/>
              </w:rPr>
            </w:pPr>
            <w:r>
              <w:rPr>
                <w:rFonts w:ascii="Arial" w:eastAsia="Times New Roman" w:hAnsi="Arial" w:cs="Arial"/>
                <w:sz w:val="16"/>
                <w:szCs w:val="16"/>
              </w:rPr>
              <w:t>(29.772,78)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FE784" w14:textId="77777777" w:rsidR="00FE0C5A" w:rsidRDefault="000C18DB" w:rsidP="00F113BD">
            <w:pPr>
              <w:spacing w:after="0"/>
              <w:jc w:val="right"/>
              <w:rPr>
                <w:rFonts w:eastAsia="Times New Roman"/>
              </w:rPr>
            </w:pPr>
            <w:r>
              <w:rPr>
                <w:rFonts w:ascii="Arial" w:eastAsia="Times New Roman" w:hAnsi="Arial" w:cs="Arial"/>
                <w:sz w:val="16"/>
                <w:szCs w:val="16"/>
              </w:rPr>
              <w:t>(34.800,28)</w:t>
            </w:r>
          </w:p>
        </w:tc>
      </w:tr>
      <w:tr w:rsidR="00FE0C5A" w14:paraId="0100D5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084C3B" w14:textId="77777777" w:rsidR="00FE0C5A" w:rsidRDefault="000C18DB" w:rsidP="00F113BD">
            <w:pPr>
              <w:spacing w:after="0"/>
              <w:rPr>
                <w:rFonts w:eastAsia="Times New Roman"/>
              </w:rPr>
            </w:pPr>
            <w:r>
              <w:rPr>
                <w:rFonts w:ascii="Arial" w:eastAsia="Times New Roman" w:hAnsi="Arial" w:cs="Arial"/>
                <w:sz w:val="16"/>
                <w:szCs w:val="16"/>
              </w:rPr>
              <w:t>Outras despesas de pessoal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1281C" w14:textId="77777777" w:rsidR="00FE0C5A" w:rsidRDefault="000C18DB" w:rsidP="00F113BD">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C8840" w14:textId="77777777" w:rsidR="00FE0C5A" w:rsidRDefault="000C18DB" w:rsidP="00F113BD">
            <w:pPr>
              <w:spacing w:after="0"/>
              <w:jc w:val="right"/>
              <w:rPr>
                <w:rFonts w:eastAsia="Times New Roman"/>
              </w:rPr>
            </w:pPr>
            <w:r>
              <w:rPr>
                <w:rFonts w:ascii="Arial" w:eastAsia="Times New Roman" w:hAnsi="Arial" w:cs="Arial"/>
                <w:sz w:val="16"/>
                <w:szCs w:val="16"/>
              </w:rPr>
              <w:t>(27,68)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3C888" w14:textId="77777777" w:rsidR="00FE0C5A" w:rsidRDefault="000C18DB" w:rsidP="00F113BD">
            <w:pPr>
              <w:spacing w:after="0"/>
              <w:jc w:val="center"/>
              <w:rPr>
                <w:rFonts w:eastAsia="Times New Roman"/>
              </w:rPr>
            </w:pPr>
            <w:r>
              <w:rPr>
                <w:rFonts w:ascii="Arial" w:eastAsia="Times New Roman" w:hAnsi="Arial" w:cs="Arial"/>
                <w:sz w:val="16"/>
                <w:szCs w:val="16"/>
              </w:rPr>
              <w:t>-</w:t>
            </w:r>
          </w:p>
        </w:tc>
      </w:tr>
      <w:tr w:rsidR="00FE0C5A" w14:paraId="0C6787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0F9119" w14:textId="77777777" w:rsidR="00FE0C5A" w:rsidRDefault="000C18DB" w:rsidP="00663642">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E343E" w14:textId="77777777" w:rsidR="00FE0C5A" w:rsidRDefault="000C18DB" w:rsidP="00F113BD">
            <w:pPr>
              <w:spacing w:after="0"/>
              <w:jc w:val="right"/>
              <w:rPr>
                <w:rFonts w:eastAsia="Times New Roman"/>
              </w:rPr>
            </w:pPr>
            <w:r>
              <w:rPr>
                <w:rFonts w:ascii="Arial" w:eastAsia="Times New Roman" w:hAnsi="Arial" w:cs="Arial"/>
                <w:b/>
                <w:bCs/>
                <w:sz w:val="16"/>
                <w:szCs w:val="16"/>
              </w:rPr>
              <w:t>(724.033,45)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6EA6D" w14:textId="77777777" w:rsidR="00FE0C5A" w:rsidRDefault="000C18DB" w:rsidP="00F113BD">
            <w:pPr>
              <w:spacing w:after="0"/>
              <w:jc w:val="right"/>
              <w:rPr>
                <w:rFonts w:eastAsia="Times New Roman"/>
              </w:rPr>
            </w:pPr>
            <w:r>
              <w:rPr>
                <w:rFonts w:ascii="Arial" w:eastAsia="Times New Roman" w:hAnsi="Arial" w:cs="Arial"/>
                <w:b/>
                <w:bCs/>
                <w:sz w:val="16"/>
                <w:szCs w:val="16"/>
              </w:rPr>
              <w:t>(1.397.155,62)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C4D20" w14:textId="77777777" w:rsidR="00FE0C5A" w:rsidRDefault="000C18DB" w:rsidP="00F113BD">
            <w:pPr>
              <w:spacing w:after="0"/>
              <w:jc w:val="right"/>
              <w:rPr>
                <w:rFonts w:eastAsia="Times New Roman"/>
              </w:rPr>
            </w:pPr>
            <w:r>
              <w:rPr>
                <w:rFonts w:ascii="Arial" w:eastAsia="Times New Roman" w:hAnsi="Arial" w:cs="Arial"/>
                <w:b/>
                <w:bCs/>
                <w:sz w:val="16"/>
                <w:szCs w:val="16"/>
              </w:rPr>
              <w:t>(1.191.474,06)</w:t>
            </w:r>
          </w:p>
        </w:tc>
      </w:tr>
    </w:tbl>
    <w:p w14:paraId="2D59148C" w14:textId="4ABFF481" w:rsidR="00FE0C5A" w:rsidRDefault="00663642">
      <w:pPr>
        <w:pStyle w:val="NormalWeb"/>
        <w:jc w:val="both"/>
      </w:pPr>
      <w:r>
        <w:rPr>
          <w:rFonts w:ascii="Arial" w:hAnsi="Arial" w:cs="Arial"/>
          <w:b/>
          <w:bCs/>
          <w:sz w:val="20"/>
          <w:szCs w:val="20"/>
        </w:rPr>
        <w:t>36. Gerenciamento de Risco  </w:t>
      </w:r>
    </w:p>
    <w:p w14:paraId="4D760E5C" w14:textId="77777777" w:rsidR="00FE0C5A" w:rsidRDefault="000C18DB">
      <w:pPr>
        <w:pStyle w:val="NormalWeb"/>
        <w:jc w:val="both"/>
      </w:pPr>
      <w:r>
        <w:rPr>
          <w:rFonts w:ascii="Arial" w:hAnsi="Arial" w:cs="Arial"/>
          <w:sz w:val="20"/>
          <w:szCs w:val="20"/>
        </w:rPr>
        <w:t xml:space="preserve">A estrutura de gerenciamento de riscos do Sicoob é realizada de forma centralizada pelo Centro </w:t>
      </w:r>
      <w:r>
        <w:rPr>
          <w:rFonts w:ascii="Arial" w:hAnsi="Arial" w:cs="Arial"/>
          <w:sz w:val="20"/>
          <w:szCs w:val="20"/>
        </w:rPr>
        <w:t>Cooperativo Sicoob (CCS), com base nas políticas, estratégias, nos processos e limites, buscando identificar, mensurar, avaliar, monitorar, reportar, controlar e mitigar os riscos inerentes às suas atividades.</w:t>
      </w:r>
    </w:p>
    <w:p w14:paraId="4511AE8C" w14:textId="77777777" w:rsidR="00FE0C5A" w:rsidRDefault="000C18DB">
      <w:pPr>
        <w:pStyle w:val="NormalWeb"/>
        <w:jc w:val="both"/>
      </w:pPr>
      <w:r>
        <w:rPr>
          <w:rFonts w:ascii="Arial" w:hAnsi="Arial" w:cs="Arial"/>
          <w:sz w:val="20"/>
          <w:szCs w:val="20"/>
        </w:rPr>
        <w:t xml:space="preserve">A </w:t>
      </w:r>
      <w:r>
        <w:rPr>
          <w:rFonts w:ascii="Arial" w:hAnsi="Arial" w:cs="Arial"/>
          <w:i/>
          <w:iCs/>
          <w:sz w:val="20"/>
          <w:szCs w:val="20"/>
        </w:rPr>
        <w:t>Política Institucional de Gestão Integrada de Riscos</w:t>
      </w:r>
      <w:r>
        <w:rPr>
          <w:rFonts w:ascii="Arial" w:hAnsi="Arial" w:cs="Arial"/>
          <w:sz w:val="20"/>
          <w:szCs w:val="20"/>
        </w:rPr>
        <w:t xml:space="preserve"> e a </w:t>
      </w:r>
      <w:r>
        <w:rPr>
          <w:rFonts w:ascii="Arial" w:hAnsi="Arial" w:cs="Arial"/>
          <w:i/>
          <w:iCs/>
          <w:sz w:val="20"/>
          <w:szCs w:val="20"/>
        </w:rPr>
        <w:t>Política Institucional de Gerenciamento de Capital</w:t>
      </w:r>
      <w:r>
        <w:rPr>
          <w:rFonts w:ascii="Arial" w:hAnsi="Arial" w:cs="Arial"/>
          <w:sz w:val="20"/>
          <w:szCs w:val="20"/>
        </w:rPr>
        <w:t>, bem como as diretrizes de gerenciamento de riscos e de capital, são aprovadas pelo Conselho de Administração do CCS.</w:t>
      </w:r>
    </w:p>
    <w:p w14:paraId="52620381" w14:textId="77777777" w:rsidR="00FE0C5A" w:rsidRDefault="000C18DB">
      <w:pPr>
        <w:pStyle w:val="NormalWeb"/>
        <w:jc w:val="both"/>
      </w:pPr>
      <w:r>
        <w:rPr>
          <w:rFonts w:ascii="Arial" w:hAnsi="Arial" w:cs="Arial"/>
          <w:sz w:val="20"/>
          <w:szCs w:val="20"/>
        </w:rPr>
        <w:t>O gerenciamento integrado de riscos abrange, no mínimo, riscos de crédito, mercado, variação das taxas de juros, liquidez, operacional, social, ambiental e climático e gestão de continuidade de negócios e assegura, de forma contínua e integrada, que os riscos sejam administrados de acordo com os níveis definidos na Declaração de Apetite por Riscos (RAS).</w:t>
      </w:r>
    </w:p>
    <w:p w14:paraId="152D531E" w14:textId="77777777" w:rsidR="00FE0C5A" w:rsidRDefault="000C18DB">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06DA64EB" w14:textId="77777777" w:rsidR="00FE0C5A" w:rsidRDefault="000C18DB">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035E35A2" w14:textId="77777777" w:rsidR="00FE0C5A" w:rsidRDefault="000C18DB">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503C4C69" w14:textId="1FFF87B8" w:rsidR="00FE0C5A" w:rsidRDefault="00663642">
      <w:pPr>
        <w:pStyle w:val="NormalWeb"/>
        <w:jc w:val="both"/>
      </w:pPr>
      <w:r>
        <w:rPr>
          <w:rFonts w:ascii="Arial" w:hAnsi="Arial" w:cs="Arial"/>
          <w:b/>
          <w:bCs/>
          <w:sz w:val="20"/>
          <w:szCs w:val="20"/>
        </w:rPr>
        <w:t>36.1 Risco operacional</w:t>
      </w:r>
    </w:p>
    <w:p w14:paraId="344C39B4" w14:textId="77777777" w:rsidR="00FE0C5A" w:rsidRDefault="000C18DB">
      <w:pPr>
        <w:pStyle w:val="NormalWeb"/>
        <w:jc w:val="both"/>
      </w:pPr>
      <w:r>
        <w:rPr>
          <w:rFonts w:ascii="Arial" w:hAnsi="Arial" w:cs="Arial"/>
          <w:sz w:val="20"/>
          <w:szCs w:val="20"/>
        </w:rPr>
        <w:lastRenderedPageBreak/>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6B4E74E5" w14:textId="77777777" w:rsidR="00FE0C5A" w:rsidRDefault="000C18DB">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3BE77279" w14:textId="77777777" w:rsidR="00FE0C5A" w:rsidRDefault="000C18DB">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391F5A68" w14:textId="77777777" w:rsidR="00FE0C5A" w:rsidRDefault="000C18DB">
      <w:pPr>
        <w:pStyle w:val="NormalWeb"/>
        <w:jc w:val="both"/>
      </w:pPr>
      <w:r>
        <w:rPr>
          <w:rFonts w:ascii="Arial" w:hAnsi="Arial" w:cs="Arial"/>
          <w:sz w:val="20"/>
          <w:szCs w:val="20"/>
        </w:rPr>
        <w:t>Os resultados são apresentados à Diretoria e ao Conselho de Administração do CCS.</w:t>
      </w:r>
    </w:p>
    <w:p w14:paraId="02DC2871" w14:textId="77777777" w:rsidR="00FE0C5A" w:rsidRDefault="000C18DB">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530836AA" w14:textId="18FEA4B6" w:rsidR="00FE0C5A" w:rsidRDefault="00663642">
      <w:pPr>
        <w:pStyle w:val="NormalWeb"/>
        <w:jc w:val="both"/>
      </w:pPr>
      <w:r>
        <w:rPr>
          <w:rFonts w:ascii="Arial" w:hAnsi="Arial" w:cs="Arial"/>
          <w:b/>
          <w:bCs/>
          <w:sz w:val="20"/>
          <w:szCs w:val="20"/>
        </w:rPr>
        <w:t>36.2 Risco de Crédito</w:t>
      </w:r>
    </w:p>
    <w:p w14:paraId="7D25F9C3" w14:textId="77777777" w:rsidR="00FE0C5A" w:rsidRDefault="000C18DB">
      <w:pPr>
        <w:pStyle w:val="NormalWeb"/>
        <w:jc w:val="both"/>
      </w:pPr>
      <w:r>
        <w:rPr>
          <w:rFonts w:ascii="Arial" w:hAnsi="Arial" w:cs="Arial"/>
          <w:sz w:val="20"/>
          <w:szCs w:val="20"/>
        </w:rPr>
        <w:t xml:space="preserve">As diretrizes para o gerenciamento do risco de crédito encontram-se registradas na Política Institucional de Gerenciamento do Risco de Crédito, aprovada pela Diretoria e pelo Conselho de </w:t>
      </w:r>
      <w:r>
        <w:rPr>
          <w:rFonts w:ascii="Arial" w:hAnsi="Arial" w:cs="Arial"/>
          <w:sz w:val="20"/>
          <w:szCs w:val="20"/>
        </w:rPr>
        <w:t>Administração do CCS, que prevê procedimentos, métricas e ações padronizadas para todas as entidades do Sicoob.</w:t>
      </w:r>
    </w:p>
    <w:p w14:paraId="34EBB529" w14:textId="77777777" w:rsidR="00FE0C5A" w:rsidRDefault="000C18DB">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5191C188" w14:textId="77777777" w:rsidR="00FE0C5A" w:rsidRDefault="000C18DB">
      <w:pPr>
        <w:pStyle w:val="NormalWeb"/>
        <w:jc w:val="both"/>
      </w:pPr>
      <w:r>
        <w:rPr>
          <w:rFonts w:ascii="Arial" w:hAnsi="Arial" w:cs="Arial"/>
          <w:sz w:val="20"/>
          <w:szCs w:val="20"/>
        </w:rPr>
        <w:t xml:space="preserve">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w:t>
      </w:r>
      <w:r>
        <w:rPr>
          <w:rFonts w:ascii="Arial" w:hAnsi="Arial" w:cs="Arial"/>
          <w:sz w:val="20"/>
          <w:szCs w:val="20"/>
        </w:rPr>
        <w:t>de acordo com a Resolução CMN nº 2.682/1999.</w:t>
      </w:r>
    </w:p>
    <w:p w14:paraId="5FBA5DDD" w14:textId="77777777" w:rsidR="00FE0C5A" w:rsidRDefault="000C18DB">
      <w:pPr>
        <w:pStyle w:val="NormalWeb"/>
        <w:jc w:val="both"/>
      </w:pPr>
      <w:r>
        <w:rPr>
          <w:rFonts w:ascii="Arial" w:hAnsi="Arial" w:cs="Arial"/>
          <w:sz w:val="20"/>
          <w:szCs w:val="20"/>
        </w:rPr>
        <w:t>A estrutura de gerenciamento de risco de crédito prevê:</w:t>
      </w:r>
    </w:p>
    <w:p w14:paraId="0BAFD0DD" w14:textId="77777777" w:rsidR="00FE0C5A" w:rsidRDefault="000C18DB">
      <w:pPr>
        <w:pStyle w:val="NormalWeb"/>
        <w:jc w:val="both"/>
      </w:pPr>
      <w:r>
        <w:rPr>
          <w:rFonts w:ascii="Arial" w:hAnsi="Arial" w:cs="Arial"/>
          <w:sz w:val="20"/>
          <w:szCs w:val="20"/>
        </w:rPr>
        <w:t>a) fixação de políticas e estratégias, incluindo limites de riscos;</w:t>
      </w:r>
    </w:p>
    <w:p w14:paraId="72EC5F23" w14:textId="77777777" w:rsidR="00FE0C5A" w:rsidRDefault="000C18DB">
      <w:pPr>
        <w:pStyle w:val="NormalWeb"/>
        <w:jc w:val="both"/>
      </w:pPr>
      <w:r>
        <w:rPr>
          <w:rFonts w:ascii="Arial" w:hAnsi="Arial" w:cs="Arial"/>
          <w:sz w:val="20"/>
          <w:szCs w:val="20"/>
        </w:rPr>
        <w:t>b) validação dos sistemas, modelos e procedimentos internos;</w:t>
      </w:r>
    </w:p>
    <w:p w14:paraId="710AAC09" w14:textId="77777777" w:rsidR="00FE0C5A" w:rsidRDefault="000C18DB">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4176CBE2" w14:textId="77777777" w:rsidR="00FE0C5A" w:rsidRDefault="000C18DB">
      <w:pPr>
        <w:pStyle w:val="NormalWeb"/>
        <w:jc w:val="both"/>
      </w:pPr>
      <w:r>
        <w:rPr>
          <w:rFonts w:ascii="Arial" w:hAnsi="Arial" w:cs="Arial"/>
          <w:sz w:val="20"/>
          <w:szCs w:val="20"/>
        </w:rPr>
        <w:t xml:space="preserve">d) </w:t>
      </w:r>
      <w:r>
        <w:rPr>
          <w:rFonts w:ascii="Arial" w:hAnsi="Arial" w:cs="Arial"/>
          <w:sz w:val="20"/>
          <w:szCs w:val="20"/>
        </w:rPr>
        <w:t>acompanhamento específico das operações com partes relacionadas;</w:t>
      </w:r>
    </w:p>
    <w:p w14:paraId="05786543" w14:textId="77777777" w:rsidR="00FE0C5A" w:rsidRDefault="000C18DB">
      <w:pPr>
        <w:pStyle w:val="NormalWeb"/>
        <w:jc w:val="both"/>
      </w:pPr>
      <w:r>
        <w:rPr>
          <w:rFonts w:ascii="Arial" w:hAnsi="Arial" w:cs="Arial"/>
          <w:sz w:val="20"/>
          <w:szCs w:val="20"/>
        </w:rPr>
        <w:t>e) procedimentos para o monitoramento das carteiras de crédito;</w:t>
      </w:r>
    </w:p>
    <w:p w14:paraId="76D16BBE" w14:textId="77777777" w:rsidR="00FE0C5A" w:rsidRDefault="000C18DB">
      <w:pPr>
        <w:pStyle w:val="NormalWeb"/>
        <w:jc w:val="both"/>
      </w:pPr>
      <w:r>
        <w:rPr>
          <w:rFonts w:ascii="Arial" w:hAnsi="Arial" w:cs="Arial"/>
          <w:sz w:val="20"/>
          <w:szCs w:val="20"/>
        </w:rPr>
        <w:t>f) identificação e tratamento de ativos problemáticos;</w:t>
      </w:r>
    </w:p>
    <w:p w14:paraId="5B1F3EE6" w14:textId="77777777" w:rsidR="00FE0C5A" w:rsidRDefault="000C18DB">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58BCE687" w14:textId="77777777" w:rsidR="00FE0C5A" w:rsidRDefault="000C18DB">
      <w:pPr>
        <w:pStyle w:val="NormalWeb"/>
        <w:jc w:val="both"/>
      </w:pPr>
      <w:r>
        <w:rPr>
          <w:rFonts w:ascii="Arial" w:hAnsi="Arial" w:cs="Arial"/>
          <w:sz w:val="20"/>
          <w:szCs w:val="20"/>
        </w:rPr>
        <w:t>h) monitoramento e reporte dos limites de apetite por riscos;</w:t>
      </w:r>
    </w:p>
    <w:p w14:paraId="61E4B53D" w14:textId="77777777" w:rsidR="00FE0C5A" w:rsidRDefault="000C18DB">
      <w:pPr>
        <w:pStyle w:val="NormalWeb"/>
        <w:jc w:val="both"/>
      </w:pPr>
      <w:r>
        <w:rPr>
          <w:rFonts w:ascii="Arial" w:hAnsi="Arial" w:cs="Arial"/>
          <w:sz w:val="20"/>
          <w:szCs w:val="20"/>
        </w:rPr>
        <w:lastRenderedPageBreak/>
        <w:t>i) informações gerenciais periódicas para os órgãos de governança;</w:t>
      </w:r>
    </w:p>
    <w:p w14:paraId="1E09CA17" w14:textId="77777777" w:rsidR="00FE0C5A" w:rsidRDefault="000C18DB">
      <w:pPr>
        <w:pStyle w:val="NormalWeb"/>
        <w:jc w:val="both"/>
      </w:pPr>
      <w:r>
        <w:rPr>
          <w:rFonts w:ascii="Arial" w:hAnsi="Arial" w:cs="Arial"/>
          <w:sz w:val="20"/>
          <w:szCs w:val="20"/>
        </w:rPr>
        <w:t>j) área responsável pelo cálculo do nível de provisão para perdas esperadas associadas ao risco de crédito;</w:t>
      </w:r>
    </w:p>
    <w:p w14:paraId="789AA187" w14:textId="77777777" w:rsidR="00FE0C5A" w:rsidRDefault="000C18DB">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5F33BBB1" w14:textId="77777777" w:rsidR="00FE0C5A" w:rsidRDefault="000C18DB">
      <w:pPr>
        <w:pStyle w:val="NormalWeb"/>
        <w:jc w:val="both"/>
      </w:pPr>
      <w:r>
        <w:rPr>
          <w:rFonts w:ascii="Arial" w:hAnsi="Arial" w:cs="Arial"/>
          <w:sz w:val="20"/>
          <w:szCs w:val="20"/>
        </w:rPr>
        <w:t>l) aplicação de testes de estresse, identificando e avaliando potenciais vulnerabilidades da Instituição;</w:t>
      </w:r>
    </w:p>
    <w:p w14:paraId="5EB454AF" w14:textId="77777777" w:rsidR="00FE0C5A" w:rsidRDefault="000C18DB">
      <w:pPr>
        <w:pStyle w:val="NormalWeb"/>
        <w:jc w:val="both"/>
      </w:pPr>
      <w:r>
        <w:rPr>
          <w:rFonts w:ascii="Arial" w:hAnsi="Arial" w:cs="Arial"/>
          <w:sz w:val="20"/>
          <w:szCs w:val="20"/>
        </w:rPr>
        <w:t>m) limites de crédito para cada contraparte e limites globais por carteira ou por linha de crédito;</w:t>
      </w:r>
    </w:p>
    <w:p w14:paraId="4721A02E" w14:textId="77777777" w:rsidR="00FE0C5A" w:rsidRDefault="000C18DB">
      <w:pPr>
        <w:pStyle w:val="NormalWeb"/>
        <w:jc w:val="both"/>
      </w:pPr>
      <w:r>
        <w:rPr>
          <w:rFonts w:ascii="Arial" w:hAnsi="Arial" w:cs="Arial"/>
          <w:sz w:val="20"/>
          <w:szCs w:val="20"/>
        </w:rPr>
        <w:t>n) avaliação específica de risco em novos produtos e serviços.</w:t>
      </w:r>
    </w:p>
    <w:p w14:paraId="700AE00C" w14:textId="77777777" w:rsidR="00FE0C5A" w:rsidRDefault="000C18DB">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6C42164E" w14:textId="00ECF974" w:rsidR="00FE0C5A" w:rsidRDefault="00663642">
      <w:pPr>
        <w:pStyle w:val="NormalWeb"/>
        <w:jc w:val="both"/>
      </w:pPr>
      <w:r>
        <w:rPr>
          <w:rFonts w:ascii="Arial" w:hAnsi="Arial" w:cs="Arial"/>
          <w:b/>
          <w:bCs/>
          <w:sz w:val="20"/>
          <w:szCs w:val="20"/>
        </w:rPr>
        <w:t>36.3 Risco de Mercado e Variação das Taxas de Juros</w:t>
      </w:r>
    </w:p>
    <w:p w14:paraId="3E5EA88B" w14:textId="77777777" w:rsidR="00FE0C5A" w:rsidRDefault="000C18DB">
      <w:pPr>
        <w:pStyle w:val="NormalWeb"/>
        <w:jc w:val="both"/>
      </w:pPr>
      <w:r>
        <w:rPr>
          <w:rFonts w:ascii="Arial" w:hAnsi="Arial" w:cs="Arial"/>
          <w:sz w:val="20"/>
          <w:szCs w:val="20"/>
        </w:rPr>
        <w:t xml:space="preserve">As diretrizes para o gerenciamento dos riscos de mercado e de variação das taxas de juros estão descritas na </w:t>
      </w:r>
      <w:r>
        <w:rPr>
          <w:rFonts w:ascii="Arial" w:hAnsi="Arial" w:cs="Arial"/>
          <w:i/>
          <w:iCs/>
          <w:sz w:val="20"/>
          <w:szCs w:val="20"/>
        </w:rPr>
        <w:t>Política Institucional de Gerenciamento do Risco de Mercado</w:t>
      </w:r>
      <w:r>
        <w:rPr>
          <w:rFonts w:ascii="Arial" w:hAnsi="Arial" w:cs="Arial"/>
          <w:sz w:val="20"/>
          <w:szCs w:val="20"/>
        </w:rPr>
        <w:t xml:space="preserve"> e do </w:t>
      </w:r>
      <w:r>
        <w:rPr>
          <w:rFonts w:ascii="Arial" w:hAnsi="Arial" w:cs="Arial"/>
          <w:i/>
          <w:iCs/>
          <w:sz w:val="20"/>
          <w:szCs w:val="20"/>
        </w:rPr>
        <w:t>Risco de Variação das Taxas de Juros e no Manual de Gerenciamento do Risco de Mercado e do IRRBB</w:t>
      </w:r>
      <w:r>
        <w:rPr>
          <w:rFonts w:ascii="Arial" w:hAnsi="Arial" w:cs="Arial"/>
          <w:sz w:val="20"/>
          <w:szCs w:val="20"/>
        </w:rPr>
        <w:t>, aprovados pela Diretoria e pelo Conselho de Administração do CCS, que prevê procedimentos, métricas e ações padronizadas para as Cooperativas do segmento S3 e S4.</w:t>
      </w:r>
    </w:p>
    <w:p w14:paraId="5074C03A" w14:textId="77777777" w:rsidR="00FE0C5A" w:rsidRDefault="000C18DB">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29FF41D8" w14:textId="77777777" w:rsidR="00FE0C5A" w:rsidRDefault="000C18DB">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408DCDF7" w14:textId="77777777" w:rsidR="00FE0C5A" w:rsidRDefault="000C18DB">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1B23560C" w14:textId="77777777" w:rsidR="00FE0C5A" w:rsidRDefault="000C18DB">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35A8D19E" w14:textId="77777777" w:rsidR="00FE0C5A" w:rsidRDefault="000C18DB">
      <w:pPr>
        <w:pStyle w:val="NormalWeb"/>
        <w:jc w:val="both"/>
      </w:pPr>
      <w:r>
        <w:rPr>
          <w:rFonts w:ascii="Arial" w:hAnsi="Arial" w:cs="Arial"/>
          <w:sz w:val="20"/>
          <w:szCs w:val="20"/>
        </w:rPr>
        <w:t>a) O risco de variação das taxas de juros e dos preços de ações, para os instrumentos classificados na carteira de negociação;</w:t>
      </w:r>
    </w:p>
    <w:p w14:paraId="287E6A46" w14:textId="77777777" w:rsidR="00FE0C5A" w:rsidRDefault="000C18DB">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14BFCB09" w14:textId="77777777" w:rsidR="00FE0C5A" w:rsidRDefault="000C18DB">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1CDCD650" w14:textId="77777777" w:rsidR="00FE0C5A" w:rsidRDefault="000C18DB">
      <w:pPr>
        <w:pStyle w:val="NormalWeb"/>
        <w:jc w:val="both"/>
      </w:pPr>
      <w:r>
        <w:rPr>
          <w:rFonts w:ascii="Arial" w:hAnsi="Arial" w:cs="Arial"/>
          <w:sz w:val="20"/>
          <w:szCs w:val="20"/>
        </w:rPr>
        <w:t xml:space="preserve">Para a mensuração do risco de mercado das operações contidas na carteira de negociação, são utilizadas metodologias padronizadas do Banco Central do Brasil (BCB), que estabelece critérios e condições para a </w:t>
      </w:r>
      <w:r>
        <w:rPr>
          <w:rFonts w:ascii="Arial" w:hAnsi="Arial" w:cs="Arial"/>
          <w:sz w:val="20"/>
          <w:szCs w:val="20"/>
        </w:rPr>
        <w:lastRenderedPageBreak/>
        <w:t>apuração das parcelas dos ativos ponderados pelo risco (RWA) para a cobertura do risco decorrente da exposição às taxas de juros, à variação cambial, aos preços de ações e aos preços de mercadorias (commodities).</w:t>
      </w:r>
    </w:p>
    <w:p w14:paraId="5F167DD2" w14:textId="77777777" w:rsidR="00FE0C5A" w:rsidRDefault="000C18DB">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7CE5DB6B" w14:textId="77777777" w:rsidR="00FE0C5A" w:rsidRDefault="000C18DB">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191F9AEC" w14:textId="77777777" w:rsidR="00FE0C5A" w:rsidRDefault="000C18DB">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6C871DBB" w14:textId="77777777" w:rsidR="00FE0C5A" w:rsidRDefault="000C18DB">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168C9283" w14:textId="77777777" w:rsidR="00FE0C5A" w:rsidRDefault="000C18DB">
      <w:pPr>
        <w:pStyle w:val="NormalWeb"/>
        <w:jc w:val="both"/>
      </w:pPr>
      <w:r>
        <w:rPr>
          <w:rFonts w:ascii="Arial" w:hAnsi="Arial" w:cs="Arial"/>
          <w:sz w:val="20"/>
          <w:szCs w:val="20"/>
        </w:rPr>
        <w:t>a) o valor do risco e o consumo de limite da carteira de negociação, nas abordagens padronizadas pelo BCB;</w:t>
      </w:r>
    </w:p>
    <w:p w14:paraId="29DD5D92" w14:textId="77777777" w:rsidR="00FE0C5A" w:rsidRDefault="000C18DB">
      <w:pPr>
        <w:pStyle w:val="NormalWeb"/>
        <w:jc w:val="both"/>
      </w:pPr>
      <w:r>
        <w:rPr>
          <w:rFonts w:ascii="Arial" w:hAnsi="Arial" w:cs="Arial"/>
          <w:sz w:val="20"/>
          <w:szCs w:val="20"/>
        </w:rPr>
        <w:t>b) os limites máximos do risco de mercado;</w:t>
      </w:r>
    </w:p>
    <w:p w14:paraId="2C5B6370" w14:textId="77777777" w:rsidR="00FE0C5A" w:rsidRDefault="000C18DB">
      <w:pPr>
        <w:pStyle w:val="NormalWeb"/>
        <w:jc w:val="both"/>
      </w:pPr>
      <w:r>
        <w:rPr>
          <w:rFonts w:ascii="Arial" w:hAnsi="Arial" w:cs="Arial"/>
          <w:sz w:val="20"/>
          <w:szCs w:val="20"/>
        </w:rPr>
        <w:t>c) o valor de marcação a mercado dos ativos e passivos da carteira de negociação, segregados por fatores de risco;</w:t>
      </w:r>
    </w:p>
    <w:p w14:paraId="49027868" w14:textId="77777777" w:rsidR="00FE0C5A" w:rsidRDefault="000C18DB">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7ED21AE0" w14:textId="77777777" w:rsidR="00FE0C5A" w:rsidRDefault="000C18DB">
      <w:pPr>
        <w:pStyle w:val="NormalWeb"/>
        <w:jc w:val="both"/>
      </w:pPr>
      <w:r>
        <w:rPr>
          <w:rFonts w:ascii="Arial" w:hAnsi="Arial" w:cs="Arial"/>
          <w:sz w:val="20"/>
          <w:szCs w:val="20"/>
        </w:rPr>
        <w:t>e) os descasamentos entre os fluxos de ativos e passivos, segregados por prazos e fatores de riscos;</w:t>
      </w:r>
    </w:p>
    <w:p w14:paraId="5D5DEF32" w14:textId="77777777" w:rsidR="00FE0C5A" w:rsidRDefault="000C18DB">
      <w:pPr>
        <w:pStyle w:val="NormalWeb"/>
        <w:jc w:val="both"/>
      </w:pPr>
      <w:r>
        <w:rPr>
          <w:rFonts w:ascii="Arial" w:hAnsi="Arial" w:cs="Arial"/>
          <w:sz w:val="20"/>
          <w:szCs w:val="20"/>
        </w:rPr>
        <w:t>f) os limites máximos do risco de variação das taxas de juros (IRRBB);</w:t>
      </w:r>
    </w:p>
    <w:p w14:paraId="77AE39B0" w14:textId="77777777" w:rsidR="00FE0C5A" w:rsidRDefault="000C18DB">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71E7FDAF" w14:textId="77777777" w:rsidR="00FE0C5A" w:rsidRDefault="000C18DB">
      <w:pPr>
        <w:pStyle w:val="NormalWeb"/>
        <w:jc w:val="both"/>
      </w:pPr>
      <w:r>
        <w:rPr>
          <w:rFonts w:ascii="Arial" w:hAnsi="Arial" w:cs="Arial"/>
          <w:sz w:val="20"/>
          <w:szCs w:val="20"/>
        </w:rPr>
        <w:t>h) o valor presente das posições, descontadas pela expectativa de taxa de juros futuros da carteira de ativos e passivos;</w:t>
      </w:r>
    </w:p>
    <w:p w14:paraId="6BFC2060" w14:textId="77777777" w:rsidR="00FE0C5A" w:rsidRDefault="000C18DB">
      <w:pPr>
        <w:pStyle w:val="NormalWeb"/>
        <w:jc w:val="both"/>
      </w:pPr>
      <w:r>
        <w:rPr>
          <w:rFonts w:ascii="Arial" w:hAnsi="Arial" w:cs="Arial"/>
          <w:sz w:val="20"/>
          <w:szCs w:val="20"/>
        </w:rPr>
        <w:t>i) o resultado das perdas e dos ganhos embutidos (EGL);</w:t>
      </w:r>
    </w:p>
    <w:p w14:paraId="4273022E" w14:textId="77777777" w:rsidR="00FE0C5A" w:rsidRDefault="000C18DB">
      <w:pPr>
        <w:pStyle w:val="NormalWeb"/>
        <w:jc w:val="both"/>
      </w:pPr>
      <w:r>
        <w:rPr>
          <w:rFonts w:ascii="Arial" w:hAnsi="Arial" w:cs="Arial"/>
          <w:sz w:val="20"/>
          <w:szCs w:val="20"/>
        </w:rPr>
        <w:t>j) resultado dos testes de estresse.</w:t>
      </w:r>
    </w:p>
    <w:p w14:paraId="51276990" w14:textId="743BBEE6" w:rsidR="00FE0C5A" w:rsidRDefault="00663642">
      <w:pPr>
        <w:pStyle w:val="NormalWeb"/>
        <w:jc w:val="both"/>
      </w:pPr>
      <w:r>
        <w:rPr>
          <w:rFonts w:ascii="Arial" w:hAnsi="Arial" w:cs="Arial"/>
          <w:b/>
          <w:bCs/>
          <w:sz w:val="20"/>
          <w:szCs w:val="20"/>
        </w:rPr>
        <w:t>36.4 Risco de Liquidez</w:t>
      </w:r>
    </w:p>
    <w:p w14:paraId="7009A4C2" w14:textId="77777777" w:rsidR="00FE0C5A" w:rsidRDefault="000C18DB">
      <w:pPr>
        <w:pStyle w:val="NormalWeb"/>
        <w:jc w:val="both"/>
      </w:pPr>
      <w:r>
        <w:rPr>
          <w:rFonts w:ascii="Arial" w:hAnsi="Arial" w:cs="Arial"/>
          <w:sz w:val="20"/>
          <w:szCs w:val="20"/>
        </w:rPr>
        <w:t xml:space="preserve">As diretrizes para o gerenciamento do risco de liquidez estão definidas na </w:t>
      </w:r>
      <w:r>
        <w:rPr>
          <w:rFonts w:ascii="Arial" w:hAnsi="Arial" w:cs="Arial"/>
          <w:i/>
          <w:iCs/>
          <w:sz w:val="20"/>
          <w:szCs w:val="20"/>
        </w:rPr>
        <w:t>Política Institucional de Gerenciamento da Centralização Financeira</w:t>
      </w:r>
      <w:r>
        <w:rPr>
          <w:rFonts w:ascii="Arial" w:hAnsi="Arial" w:cs="Arial"/>
          <w:sz w:val="20"/>
          <w:szCs w:val="20"/>
        </w:rPr>
        <w:t xml:space="preserve">, na </w:t>
      </w:r>
      <w:r>
        <w:rPr>
          <w:rFonts w:ascii="Arial" w:hAnsi="Arial" w:cs="Arial"/>
          <w:i/>
          <w:iCs/>
          <w:sz w:val="20"/>
          <w:szCs w:val="20"/>
        </w:rPr>
        <w:t>Política Institucional de Gerenciamento do Risco de Liquidez</w:t>
      </w:r>
      <w:r>
        <w:rPr>
          <w:rFonts w:ascii="Arial" w:hAnsi="Arial" w:cs="Arial"/>
          <w:sz w:val="20"/>
          <w:szCs w:val="20"/>
        </w:rPr>
        <w:t xml:space="preserve"> e no </w:t>
      </w:r>
      <w:r>
        <w:rPr>
          <w:rFonts w:ascii="Arial" w:hAnsi="Arial" w:cs="Arial"/>
          <w:i/>
          <w:iCs/>
          <w:sz w:val="20"/>
          <w:szCs w:val="20"/>
        </w:rPr>
        <w:t>Manual de Gerenciamento do Risco de Liquidez</w:t>
      </w:r>
      <w:r>
        <w:rPr>
          <w:rFonts w:ascii="Arial" w:hAnsi="Arial" w:cs="Arial"/>
          <w:sz w:val="20"/>
          <w:szCs w:val="20"/>
        </w:rPr>
        <w:t xml:space="preserve">, aprovados pela </w:t>
      </w:r>
      <w:r>
        <w:rPr>
          <w:rFonts w:ascii="Arial" w:hAnsi="Arial" w:cs="Arial"/>
          <w:sz w:val="20"/>
          <w:szCs w:val="20"/>
        </w:rPr>
        <w:t>Diretoria e pelo Conselho de Administração do CCS, que prevê procedimentos, métricas e ações padronizadas para todas as entidades do Sicoob.</w:t>
      </w:r>
    </w:p>
    <w:p w14:paraId="3D029273" w14:textId="77777777" w:rsidR="00FE0C5A" w:rsidRDefault="000C18DB">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26B915E1" w14:textId="77777777" w:rsidR="00FE0C5A" w:rsidRDefault="000C18DB">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258912E2" w14:textId="77777777" w:rsidR="00FE0C5A" w:rsidRDefault="000C18DB">
      <w:pPr>
        <w:pStyle w:val="NormalWeb"/>
        <w:jc w:val="both"/>
      </w:pPr>
      <w:r>
        <w:rPr>
          <w:rFonts w:ascii="Arial" w:hAnsi="Arial" w:cs="Arial"/>
          <w:sz w:val="20"/>
          <w:szCs w:val="20"/>
        </w:rPr>
        <w:lastRenderedPageBreak/>
        <w:t>O gerenciamento do risco de liquidez das Cooperativas do Sicoob atende aos aspectos e padrões previstos nos normativos emitidos pelos órgãos reguladores, aprimorados e alinhados permanentemente com as boas práticas de gestão.</w:t>
      </w:r>
    </w:p>
    <w:p w14:paraId="16A64025" w14:textId="77777777" w:rsidR="00FE0C5A" w:rsidRDefault="000C18DB">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02F78F55" w14:textId="77777777" w:rsidR="00FE0C5A" w:rsidRDefault="000C18DB">
      <w:pPr>
        <w:pStyle w:val="NormalWeb"/>
        <w:jc w:val="both"/>
      </w:pPr>
      <w:r>
        <w:rPr>
          <w:rFonts w:ascii="Arial" w:hAnsi="Arial" w:cs="Arial"/>
          <w:sz w:val="20"/>
          <w:szCs w:val="20"/>
        </w:rPr>
        <w:t>Os instrumentos de gerenciamento do risco de liquidez utilizados são:</w:t>
      </w:r>
    </w:p>
    <w:p w14:paraId="6E4252B8" w14:textId="77777777" w:rsidR="00FE0C5A" w:rsidRDefault="000C18DB">
      <w:pPr>
        <w:pStyle w:val="NormalWeb"/>
        <w:jc w:val="both"/>
      </w:pPr>
      <w:r>
        <w:rPr>
          <w:rFonts w:ascii="Arial" w:hAnsi="Arial" w:cs="Arial"/>
          <w:sz w:val="20"/>
          <w:szCs w:val="20"/>
        </w:rPr>
        <w:t>a) acompanhamento do risco de liquidez das Cooperativas, realizado por meio da análise e avaliação do conjunto de relatórios, remetidos à órgãos de governança, comitês e alta administração, que evidenciem, no mínimo:</w:t>
      </w:r>
    </w:p>
    <w:p w14:paraId="016C4873" w14:textId="77777777" w:rsidR="00FE0C5A" w:rsidRDefault="000C18DB">
      <w:pPr>
        <w:pStyle w:val="NormalWeb"/>
        <w:jc w:val="both"/>
      </w:pPr>
      <w:r>
        <w:rPr>
          <w:rFonts w:ascii="Arial" w:hAnsi="Arial" w:cs="Arial"/>
          <w:sz w:val="20"/>
          <w:szCs w:val="20"/>
        </w:rPr>
        <w:t>a.1) limite mínimo de liquidez;</w:t>
      </w:r>
    </w:p>
    <w:p w14:paraId="322401AD" w14:textId="77777777" w:rsidR="00FE0C5A" w:rsidRDefault="000C18DB">
      <w:pPr>
        <w:pStyle w:val="NormalWeb"/>
        <w:jc w:val="both"/>
      </w:pPr>
      <w:r>
        <w:rPr>
          <w:rFonts w:ascii="Arial" w:hAnsi="Arial" w:cs="Arial"/>
          <w:sz w:val="20"/>
          <w:szCs w:val="20"/>
        </w:rPr>
        <w:t>a.2) fluxo de caixa projetado;</w:t>
      </w:r>
    </w:p>
    <w:p w14:paraId="2A610F89" w14:textId="77777777" w:rsidR="00FE0C5A" w:rsidRDefault="000C18DB">
      <w:pPr>
        <w:pStyle w:val="NormalWeb"/>
        <w:jc w:val="both"/>
      </w:pPr>
      <w:r>
        <w:rPr>
          <w:rFonts w:ascii="Arial" w:hAnsi="Arial" w:cs="Arial"/>
          <w:sz w:val="20"/>
          <w:szCs w:val="20"/>
        </w:rPr>
        <w:t>a.3) aplicação de cenários de estresse;</w:t>
      </w:r>
    </w:p>
    <w:p w14:paraId="689DB6E6" w14:textId="77777777" w:rsidR="00FE0C5A" w:rsidRDefault="000C18DB">
      <w:pPr>
        <w:pStyle w:val="NormalWeb"/>
        <w:jc w:val="both"/>
      </w:pPr>
      <w:r>
        <w:rPr>
          <w:rFonts w:ascii="Arial" w:hAnsi="Arial" w:cs="Arial"/>
          <w:sz w:val="20"/>
          <w:szCs w:val="20"/>
        </w:rPr>
        <w:t>a.4) definição de planos de contingência.</w:t>
      </w:r>
    </w:p>
    <w:p w14:paraId="057E79A0" w14:textId="77777777" w:rsidR="00FE0C5A" w:rsidRDefault="000C18DB">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600CA5AC" w14:textId="77777777" w:rsidR="00FE0C5A" w:rsidRDefault="000C18DB">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603C9A50" w14:textId="77777777" w:rsidR="00FE0C5A" w:rsidRDefault="000C18DB">
      <w:pPr>
        <w:pStyle w:val="NormalWeb"/>
        <w:jc w:val="both"/>
      </w:pPr>
      <w:r>
        <w:rPr>
          <w:rFonts w:ascii="Arial" w:hAnsi="Arial" w:cs="Arial"/>
          <w:sz w:val="20"/>
          <w:szCs w:val="20"/>
        </w:rPr>
        <w:t xml:space="preserve">Os resultados dos testes de estresse aplicando os cenários de estresse, tem por objetivo identificar eventuais deficiências e situações atípicas que </w:t>
      </w:r>
      <w:r>
        <w:rPr>
          <w:rFonts w:ascii="Arial" w:hAnsi="Arial" w:cs="Arial"/>
          <w:sz w:val="20"/>
          <w:szCs w:val="20"/>
        </w:rPr>
        <w:t>possam comprometer a liquidez das cooperativas do Sicoob.</w:t>
      </w:r>
    </w:p>
    <w:p w14:paraId="0FF8DF4F" w14:textId="5AB9034F" w:rsidR="00FE0C5A" w:rsidRDefault="00663642">
      <w:pPr>
        <w:pStyle w:val="NormalWeb"/>
        <w:jc w:val="both"/>
      </w:pPr>
      <w:r>
        <w:rPr>
          <w:rFonts w:ascii="Arial" w:hAnsi="Arial" w:cs="Arial"/>
          <w:b/>
          <w:bCs/>
          <w:sz w:val="20"/>
          <w:szCs w:val="20"/>
        </w:rPr>
        <w:t>36.5 Riscos Social, Ambiental e Climático</w:t>
      </w:r>
    </w:p>
    <w:p w14:paraId="599B90EC" w14:textId="77777777" w:rsidR="00FE0C5A" w:rsidRDefault="000C18DB">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4013828E" w14:textId="77777777" w:rsidR="00FE0C5A" w:rsidRDefault="000C18DB">
      <w:pPr>
        <w:pStyle w:val="NormalWeb"/>
        <w:jc w:val="both"/>
      </w:pPr>
      <w:r>
        <w:rPr>
          <w:rFonts w:ascii="Arial" w:hAnsi="Arial" w:cs="Arial"/>
          <w:sz w:val="20"/>
          <w:szCs w:val="20"/>
        </w:rPr>
        <w:t xml:space="preserve">O Sicoob adota a </w:t>
      </w:r>
      <w:r>
        <w:rPr>
          <w:rFonts w:ascii="Arial" w:hAnsi="Arial" w:cs="Arial"/>
          <w:i/>
          <w:iCs/>
          <w:sz w:val="20"/>
          <w:szCs w:val="20"/>
        </w:rPr>
        <w:t>Política Institucional de Responsabilidade Social, Ambiental e Climática (PRSAC)</w:t>
      </w:r>
      <w:r>
        <w:rPr>
          <w:rFonts w:ascii="Arial" w:hAnsi="Arial" w:cs="Arial"/>
          <w:sz w:val="20"/>
          <w:szCs w:val="20"/>
        </w:rPr>
        <w:t xml:space="preserve">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47844CBD" w14:textId="77777777" w:rsidR="00FE0C5A" w:rsidRDefault="000C18DB">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3980CF9E" w14:textId="77777777" w:rsidR="00FE0C5A" w:rsidRDefault="000C18DB">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1DA9BBE3" w14:textId="77777777" w:rsidR="00FE0C5A" w:rsidRDefault="000C18DB">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1399C4FD" w14:textId="77777777" w:rsidR="00FE0C5A" w:rsidRDefault="000C18DB">
      <w:pPr>
        <w:pStyle w:val="NormalWeb"/>
        <w:jc w:val="both"/>
      </w:pPr>
      <w:r>
        <w:rPr>
          <w:rFonts w:ascii="Arial" w:hAnsi="Arial" w:cs="Arial"/>
          <w:sz w:val="20"/>
          <w:szCs w:val="20"/>
        </w:rPr>
        <w:lastRenderedPageBreak/>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0D26E95E" w14:textId="77777777" w:rsidR="00FE0C5A" w:rsidRDefault="000C18DB">
      <w:pPr>
        <w:pStyle w:val="NormalWeb"/>
        <w:jc w:val="both"/>
      </w:pPr>
      <w:r>
        <w:rPr>
          <w:rFonts w:ascii="Arial" w:hAnsi="Arial" w:cs="Arial"/>
          <w:sz w:val="20"/>
          <w:szCs w:val="20"/>
        </w:rPr>
        <w:t>a) setores de atuação de maior exposição aos riscos social, ambiental e climático;</w:t>
      </w:r>
    </w:p>
    <w:p w14:paraId="28D36B41" w14:textId="77777777" w:rsidR="00FE0C5A" w:rsidRDefault="000C18DB">
      <w:pPr>
        <w:pStyle w:val="NormalWeb"/>
        <w:jc w:val="both"/>
      </w:pPr>
      <w:r>
        <w:rPr>
          <w:rFonts w:ascii="Arial" w:hAnsi="Arial" w:cs="Arial"/>
          <w:sz w:val="20"/>
          <w:szCs w:val="20"/>
        </w:rPr>
        <w:t>b) linhas de empréstimos e financiamentos de maior exposição aos riscos social, ambiental e climático;</w:t>
      </w:r>
    </w:p>
    <w:p w14:paraId="51C6679E" w14:textId="77777777" w:rsidR="00FE0C5A" w:rsidRDefault="000C18DB">
      <w:pPr>
        <w:pStyle w:val="NormalWeb"/>
        <w:jc w:val="both"/>
      </w:pPr>
      <w:r>
        <w:rPr>
          <w:rFonts w:ascii="Arial" w:hAnsi="Arial" w:cs="Arial"/>
          <w:sz w:val="20"/>
          <w:szCs w:val="20"/>
        </w:rPr>
        <w:t>c) valor de saldo devedor em operações de crédito de maior exposição aos riscos social, ambiental e climático.</w:t>
      </w:r>
    </w:p>
    <w:p w14:paraId="4381EB6B" w14:textId="77777777" w:rsidR="00FE0C5A" w:rsidRDefault="000C18DB">
      <w:pPr>
        <w:pStyle w:val="NormalWeb"/>
        <w:jc w:val="both"/>
      </w:pPr>
      <w:r>
        <w:rPr>
          <w:rFonts w:ascii="Arial" w:hAnsi="Arial" w:cs="Arial"/>
          <w:sz w:val="20"/>
          <w:szCs w:val="20"/>
        </w:rPr>
        <w:t>As propostas de contrapartes autuadas por crime ambiental são analisadas por alçada específica.</w:t>
      </w:r>
    </w:p>
    <w:p w14:paraId="6A314B99" w14:textId="77777777" w:rsidR="00FE0C5A" w:rsidRDefault="000C18DB">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002E23B9" w14:textId="1952B164" w:rsidR="00FE0C5A" w:rsidRDefault="00663642">
      <w:pPr>
        <w:pStyle w:val="NormalWeb"/>
        <w:jc w:val="both"/>
      </w:pPr>
      <w:r>
        <w:rPr>
          <w:rFonts w:ascii="Arial" w:hAnsi="Arial" w:cs="Arial"/>
          <w:b/>
          <w:bCs/>
          <w:sz w:val="20"/>
          <w:szCs w:val="20"/>
        </w:rPr>
        <w:t>36.6 Gerenciamento de Capital</w:t>
      </w:r>
    </w:p>
    <w:p w14:paraId="051D1C58" w14:textId="77777777" w:rsidR="00FE0C5A" w:rsidRDefault="000C18DB">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48D50EEC" w14:textId="77777777" w:rsidR="00FE0C5A" w:rsidRDefault="000C18DB">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30AA495D" w14:textId="77777777" w:rsidR="00FE0C5A" w:rsidRDefault="000C18DB">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 Adicionalmente, são realizadas simulações de eventos severos e condições extremas de mercado, cu</w:t>
      </w:r>
      <w:r>
        <w:rPr>
          <w:rFonts w:ascii="Arial" w:hAnsi="Arial" w:cs="Arial"/>
          <w:sz w:val="20"/>
          <w:szCs w:val="20"/>
        </w:rPr>
        <w:t>jos resultados e impactos na estrutura de capital são apresentados à Diretoria e ao Conselho de Administração das instituições.</w:t>
      </w:r>
    </w:p>
    <w:p w14:paraId="0FCD4F60" w14:textId="1583F25B" w:rsidR="00FE0C5A" w:rsidRDefault="00663642">
      <w:pPr>
        <w:pStyle w:val="NormalWeb"/>
        <w:jc w:val="both"/>
      </w:pPr>
      <w:r>
        <w:rPr>
          <w:rFonts w:ascii="Arial" w:hAnsi="Arial" w:cs="Arial"/>
          <w:b/>
          <w:bCs/>
          <w:sz w:val="20"/>
          <w:szCs w:val="20"/>
        </w:rPr>
        <w:t>36.7 Gestão de Continuidade de Negócios</w:t>
      </w:r>
    </w:p>
    <w:p w14:paraId="526AE081" w14:textId="77777777" w:rsidR="00FE0C5A" w:rsidRDefault="000C18DB">
      <w:pPr>
        <w:pStyle w:val="NormalWeb"/>
        <w:jc w:val="both"/>
      </w:pPr>
      <w:r>
        <w:rPr>
          <w:rFonts w:ascii="Arial" w:hAnsi="Arial" w:cs="Arial"/>
          <w:sz w:val="20"/>
          <w:szCs w:val="20"/>
        </w:rPr>
        <w:t xml:space="preserve">As diretrizes para a gestão de continuidade de negócios encontram-se registradas na </w:t>
      </w:r>
      <w:r>
        <w:rPr>
          <w:rFonts w:ascii="Arial" w:hAnsi="Arial" w:cs="Arial"/>
          <w:i/>
          <w:iCs/>
          <w:sz w:val="20"/>
          <w:szCs w:val="20"/>
        </w:rPr>
        <w:t>Política Institucional de Gestão de Continuidade de Negócios</w:t>
      </w:r>
      <w:r>
        <w:rPr>
          <w:rFonts w:ascii="Arial" w:hAnsi="Arial" w:cs="Arial"/>
          <w:sz w:val="20"/>
          <w:szCs w:val="20"/>
        </w:rPr>
        <w:t>, aprovada pela Diretoria e pelo Conselho de Administração do CCS, que prevê procedimentos, métricas e ações padronizadas para todas as entidades do Sicoob.</w:t>
      </w:r>
    </w:p>
    <w:p w14:paraId="69338B67" w14:textId="77777777" w:rsidR="00FE0C5A" w:rsidRDefault="000C18DB">
      <w:pPr>
        <w:pStyle w:val="NormalWeb"/>
        <w:jc w:val="both"/>
      </w:pPr>
      <w:r>
        <w:rPr>
          <w:rFonts w:ascii="Arial" w:hAnsi="Arial" w:cs="Arial"/>
          <w:sz w:val="20"/>
          <w:szCs w:val="20"/>
        </w:rPr>
        <w:t>O processo de gestão de continuidade de negócios se desenvolve com base nas seguintes atividades:</w:t>
      </w:r>
    </w:p>
    <w:p w14:paraId="7977E6C0" w14:textId="77777777" w:rsidR="00FE0C5A" w:rsidRDefault="000C18DB">
      <w:pPr>
        <w:pStyle w:val="NormalWeb"/>
        <w:jc w:val="both"/>
      </w:pPr>
      <w:r>
        <w:rPr>
          <w:rFonts w:ascii="Arial" w:hAnsi="Arial" w:cs="Arial"/>
          <w:sz w:val="20"/>
          <w:szCs w:val="20"/>
        </w:rPr>
        <w:t>a) identificação da possibilidade de paralisação das atividades;</w:t>
      </w:r>
    </w:p>
    <w:p w14:paraId="07DC4904" w14:textId="77777777" w:rsidR="00FE0C5A" w:rsidRDefault="000C18DB">
      <w:pPr>
        <w:pStyle w:val="NormalWeb"/>
        <w:jc w:val="both"/>
      </w:pPr>
      <w:r>
        <w:rPr>
          <w:rFonts w:ascii="Arial" w:hAnsi="Arial" w:cs="Arial"/>
          <w:sz w:val="20"/>
          <w:szCs w:val="20"/>
        </w:rPr>
        <w:t xml:space="preserve">b) avaliação dos impactos </w:t>
      </w:r>
      <w:r>
        <w:rPr>
          <w:rFonts w:ascii="Arial" w:hAnsi="Arial" w:cs="Arial"/>
          <w:sz w:val="20"/>
          <w:szCs w:val="20"/>
        </w:rPr>
        <w:t>potenciais (resultados e consequências) que possam atingir a entidade, provenientes da paralisação das atividades;</w:t>
      </w:r>
    </w:p>
    <w:p w14:paraId="28E9DC45" w14:textId="77777777" w:rsidR="00FE0C5A" w:rsidRDefault="000C18DB">
      <w:pPr>
        <w:pStyle w:val="NormalWeb"/>
        <w:jc w:val="both"/>
      </w:pPr>
      <w:r>
        <w:rPr>
          <w:rFonts w:ascii="Arial" w:hAnsi="Arial" w:cs="Arial"/>
          <w:sz w:val="20"/>
          <w:szCs w:val="20"/>
        </w:rPr>
        <w:t>c) definição de estratégia de recuperação para a possibilidade da ocorrência de incidentes;</w:t>
      </w:r>
    </w:p>
    <w:p w14:paraId="2EB4174A" w14:textId="77777777" w:rsidR="00FE0C5A" w:rsidRDefault="000C18DB">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4DEE2BA7" w14:textId="77777777" w:rsidR="00FE0C5A" w:rsidRDefault="000C18DB">
      <w:pPr>
        <w:pStyle w:val="NormalWeb"/>
        <w:jc w:val="both"/>
      </w:pPr>
      <w:r>
        <w:rPr>
          <w:rFonts w:ascii="Arial" w:hAnsi="Arial" w:cs="Arial"/>
          <w:sz w:val="20"/>
          <w:szCs w:val="20"/>
        </w:rPr>
        <w:t>e) transição entre a contingência e o retorno à normalidade (saída do incidente).</w:t>
      </w:r>
    </w:p>
    <w:p w14:paraId="450D813B" w14:textId="77777777" w:rsidR="00FE0C5A" w:rsidRDefault="000C18DB">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32238CED" w14:textId="77777777" w:rsidR="00FE0C5A" w:rsidRDefault="000C18DB">
      <w:pPr>
        <w:pStyle w:val="NormalWeb"/>
        <w:jc w:val="both"/>
      </w:pPr>
      <w:r>
        <w:rPr>
          <w:rFonts w:ascii="Arial" w:hAnsi="Arial" w:cs="Arial"/>
          <w:sz w:val="20"/>
          <w:szCs w:val="20"/>
        </w:rPr>
        <w:lastRenderedPageBreak/>
        <w:t xml:space="preserve">São elaborados, revisados e testados, os </w:t>
      </w:r>
      <w:r>
        <w:rPr>
          <w:rFonts w:ascii="Arial" w:hAnsi="Arial" w:cs="Arial"/>
          <w:i/>
          <w:iCs/>
          <w:sz w:val="20"/>
          <w:szCs w:val="20"/>
        </w:rPr>
        <w:t>Planos de Continuidade de Negócios</w:t>
      </w:r>
      <w:r>
        <w:rPr>
          <w:rFonts w:ascii="Arial" w:hAnsi="Arial" w:cs="Arial"/>
          <w:sz w:val="20"/>
          <w:szCs w:val="20"/>
        </w:rPr>
        <w:t xml:space="preserve"> contendo os principais procedimentos a serem executados para manter as atividades em funcionamento em momentos de contingência. Os </w:t>
      </w:r>
      <w:r>
        <w:rPr>
          <w:rFonts w:ascii="Arial" w:hAnsi="Arial" w:cs="Arial"/>
          <w:i/>
          <w:iCs/>
          <w:sz w:val="20"/>
          <w:szCs w:val="20"/>
        </w:rPr>
        <w:t>Planos de Continuidade de Negócios</w:t>
      </w:r>
      <w:r>
        <w:rPr>
          <w:rFonts w:ascii="Arial" w:hAnsi="Arial" w:cs="Arial"/>
          <w:sz w:val="20"/>
          <w:szCs w:val="20"/>
        </w:rPr>
        <w:t xml:space="preserve"> são classificados em </w:t>
      </w:r>
      <w:r>
        <w:rPr>
          <w:rFonts w:ascii="Arial" w:hAnsi="Arial" w:cs="Arial"/>
          <w:i/>
          <w:iCs/>
          <w:sz w:val="20"/>
          <w:szCs w:val="20"/>
        </w:rPr>
        <w:t>Plano de Continuidade Operacional (PCO)</w:t>
      </w:r>
      <w:r>
        <w:rPr>
          <w:rFonts w:ascii="Arial" w:hAnsi="Arial" w:cs="Arial"/>
          <w:sz w:val="20"/>
          <w:szCs w:val="20"/>
        </w:rPr>
        <w:t xml:space="preserve"> e </w:t>
      </w:r>
      <w:r>
        <w:rPr>
          <w:rFonts w:ascii="Arial" w:hAnsi="Arial" w:cs="Arial"/>
          <w:i/>
          <w:iCs/>
          <w:sz w:val="20"/>
          <w:szCs w:val="20"/>
        </w:rPr>
        <w:t>Plano de Recuperação de Desastre (PRD)</w:t>
      </w:r>
      <w:r>
        <w:rPr>
          <w:rFonts w:ascii="Arial" w:hAnsi="Arial" w:cs="Arial"/>
          <w:sz w:val="20"/>
          <w:szCs w:val="20"/>
        </w:rPr>
        <w:t>.</w:t>
      </w:r>
    </w:p>
    <w:p w14:paraId="18E2276F" w14:textId="77777777" w:rsidR="00FE0C5A" w:rsidRDefault="000C18DB">
      <w:pPr>
        <w:pStyle w:val="NormalWeb"/>
        <w:jc w:val="both"/>
      </w:pPr>
      <w:r>
        <w:rPr>
          <w:rFonts w:ascii="Arial" w:hAnsi="Arial" w:cs="Arial"/>
          <w:sz w:val="20"/>
          <w:szCs w:val="20"/>
        </w:rPr>
        <w:t>Anualmente, são realizados testes nos Planos de Continuidade de Negócios para validar a sua efetividade.</w:t>
      </w:r>
    </w:p>
    <w:p w14:paraId="370F7DCE" w14:textId="7DF2940D" w:rsidR="00FE0C5A" w:rsidRDefault="00663642">
      <w:pPr>
        <w:pStyle w:val="NormalWeb"/>
        <w:jc w:val="both"/>
      </w:pPr>
      <w:r>
        <w:rPr>
          <w:rFonts w:ascii="Arial" w:hAnsi="Arial" w:cs="Arial"/>
          <w:b/>
          <w:bCs/>
          <w:sz w:val="20"/>
          <w:szCs w:val="20"/>
        </w:rPr>
        <w:t xml:space="preserve">36.8 Risco Cibernético </w:t>
      </w:r>
    </w:p>
    <w:p w14:paraId="685A0F51" w14:textId="77777777" w:rsidR="00FE0C5A" w:rsidRDefault="000C18DB">
      <w:pPr>
        <w:pStyle w:val="NormalWeb"/>
        <w:jc w:val="both"/>
      </w:pPr>
      <w:r>
        <w:rPr>
          <w:rFonts w:ascii="Arial" w:hAnsi="Arial" w:cs="Arial"/>
          <w:sz w:val="20"/>
          <w:szCs w:val="20"/>
        </w:rPr>
        <w:t xml:space="preserve">O </w:t>
      </w:r>
      <w:r>
        <w:rPr>
          <w:rFonts w:ascii="Arial" w:hAnsi="Arial" w:cs="Arial"/>
          <w:sz w:val="20"/>
          <w:szCs w:val="20"/>
        </w:rPr>
        <w:t>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620A7B34" w14:textId="77777777" w:rsidR="00FE0C5A" w:rsidRDefault="000C18DB">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47255F7E" w14:textId="77777777" w:rsidR="00FE0C5A" w:rsidRDefault="000C18DB">
      <w:pPr>
        <w:pStyle w:val="NormalWeb"/>
        <w:jc w:val="both"/>
      </w:pPr>
      <w:r>
        <w:rPr>
          <w:rFonts w:ascii="Arial" w:hAnsi="Arial" w:cs="Arial"/>
          <w:sz w:val="20"/>
          <w:szCs w:val="20"/>
        </w:rPr>
        <w:t>As responsabilidades sobre o risco cibernético são divididas da seguinte forma:</w:t>
      </w:r>
    </w:p>
    <w:p w14:paraId="7FCD4A4C" w14:textId="77777777" w:rsidR="00FE0C5A" w:rsidRDefault="000C18DB">
      <w:pPr>
        <w:pStyle w:val="NormalWeb"/>
        <w:jc w:val="both"/>
      </w:pPr>
      <w:r>
        <w:rPr>
          <w:rFonts w:ascii="Arial" w:hAnsi="Arial" w:cs="Arial"/>
          <w:sz w:val="20"/>
          <w:szCs w:val="20"/>
        </w:rPr>
        <w:t>a) Gerência de Risco Cibernético: responsável pela estrutura centralizada de gestão do risco cibernético das entidades do Sicoob;</w:t>
      </w:r>
    </w:p>
    <w:p w14:paraId="01A84A89" w14:textId="77777777" w:rsidR="00FE0C5A" w:rsidRDefault="000C18DB">
      <w:pPr>
        <w:pStyle w:val="NormalWeb"/>
        <w:jc w:val="both"/>
      </w:pPr>
      <w:r>
        <w:rPr>
          <w:rFonts w:ascii="Arial" w:hAnsi="Arial" w:cs="Arial"/>
          <w:sz w:val="20"/>
          <w:szCs w:val="20"/>
        </w:rPr>
        <w:t>b) Segurança Cibernética e Segurança da Informação: Garantir, em conjunto com a área de Riscos Cibernéticos, a identificação, avaliação e tratamento adequado dos riscos cibernéticos. Adicionalmente, desenvolver e manter atualizado um plano de resposta a incidentes cibernéticos;</w:t>
      </w:r>
    </w:p>
    <w:p w14:paraId="3040263D" w14:textId="77777777" w:rsidR="00FE0C5A" w:rsidRDefault="000C18DB">
      <w:pPr>
        <w:pStyle w:val="NormalWeb"/>
        <w:jc w:val="both"/>
      </w:pPr>
      <w:r>
        <w:rPr>
          <w:rFonts w:ascii="Arial" w:hAnsi="Arial" w:cs="Arial"/>
          <w:sz w:val="20"/>
          <w:szCs w:val="20"/>
        </w:rPr>
        <w:t>c) Superintendência de Gestão Integrada de Riscos: supervisionará as atividades de gestão do risco cibernético e revisará periodicamente a eficácia das medidas implementadas;</w:t>
      </w:r>
    </w:p>
    <w:p w14:paraId="2807BC0B" w14:textId="77777777" w:rsidR="00FE0C5A" w:rsidRDefault="000C18DB">
      <w:pPr>
        <w:pStyle w:val="NormalWeb"/>
        <w:jc w:val="both"/>
      </w:pPr>
      <w:r>
        <w:rPr>
          <w:rFonts w:ascii="Arial" w:hAnsi="Arial" w:cs="Arial"/>
          <w:sz w:val="20"/>
          <w:szCs w:val="20"/>
        </w:rPr>
        <w:t>d) Diretoria Executiva: patrocinar a estrutura de gerenciamento do risco cibernético, possibilitando a avaliação tempestiva de impactos das exposições e a tomada de decisões, pelos gestores das áreas sob suas responsabilidades, em conformidade com as estratégias de tratamento dos riscos.</w:t>
      </w:r>
    </w:p>
    <w:p w14:paraId="4BC5B4B8" w14:textId="685CE86C" w:rsidR="00FE0C5A" w:rsidRDefault="00663642">
      <w:pPr>
        <w:pStyle w:val="NormalWeb"/>
        <w:jc w:val="both"/>
      </w:pPr>
      <w:r>
        <w:rPr>
          <w:rFonts w:ascii="Arial" w:hAnsi="Arial" w:cs="Arial"/>
          <w:b/>
          <w:bCs/>
          <w:sz w:val="20"/>
          <w:szCs w:val="20"/>
        </w:rPr>
        <w:t>37. Seguros Contratados – Não Auditado</w:t>
      </w:r>
    </w:p>
    <w:p w14:paraId="7AB2DA4F" w14:textId="77777777" w:rsidR="00FE0C5A" w:rsidRDefault="000C18DB">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3A6DFA97" w14:textId="77777777" w:rsidR="00FE0C5A" w:rsidRDefault="000C18DB">
      <w:pPr>
        <w:pStyle w:val="NormalWeb"/>
        <w:jc w:val="right"/>
        <w:rPr>
          <w:rFonts w:ascii="Arial" w:hAnsi="Arial" w:cs="Arial"/>
          <w:b/>
          <w:bCs/>
          <w:sz w:val="20"/>
          <w:szCs w:val="20"/>
        </w:rPr>
      </w:pPr>
      <w:r>
        <w:rPr>
          <w:rFonts w:ascii="Arial" w:hAnsi="Arial" w:cs="Arial"/>
          <w:b/>
          <w:bCs/>
          <w:sz w:val="20"/>
          <w:szCs w:val="20"/>
        </w:rPr>
        <w:t xml:space="preserve">TRÊS PONTAS-MG </w:t>
      </w:r>
    </w:p>
    <w:p w14:paraId="1783F2A3" w14:textId="77777777" w:rsidR="006B1914" w:rsidRDefault="006B1914">
      <w:pPr>
        <w:pStyle w:val="NormalWeb"/>
        <w:jc w:val="right"/>
      </w:pPr>
    </w:p>
    <w:p w14:paraId="3DABFC3F" w14:textId="77777777" w:rsidR="006B1914" w:rsidRDefault="006B1914" w:rsidP="006B1914">
      <w:pPr>
        <w:jc w:val="center"/>
        <w:rPr>
          <w:rFonts w:ascii="Arial" w:hAnsi="Arial" w:cs="Arial"/>
          <w:b/>
          <w:bCs/>
          <w:sz w:val="20"/>
          <w:szCs w:val="20"/>
        </w:rPr>
      </w:pPr>
      <w:r w:rsidRPr="006B1914">
        <w:rPr>
          <w:rFonts w:ascii="Arial" w:hAnsi="Arial" w:cs="Arial"/>
          <w:b/>
          <w:bCs/>
          <w:sz w:val="20"/>
          <w:szCs w:val="20"/>
        </w:rPr>
        <w:t>MEIRE ROZANA DE CASTRO</w:t>
      </w:r>
      <w:r w:rsidRPr="006B1914">
        <w:rPr>
          <w:rFonts w:ascii="Arial" w:hAnsi="Arial" w:cs="Arial"/>
          <w:b/>
          <w:bCs/>
          <w:sz w:val="20"/>
          <w:szCs w:val="20"/>
        </w:rPr>
        <w:br/>
        <w:t>DIRETOR</w:t>
      </w:r>
      <w:r>
        <w:rPr>
          <w:rFonts w:ascii="Arial" w:hAnsi="Arial" w:cs="Arial"/>
          <w:b/>
          <w:bCs/>
          <w:sz w:val="20"/>
          <w:szCs w:val="20"/>
        </w:rPr>
        <w:t>A</w:t>
      </w:r>
      <w:r w:rsidRPr="006B1914">
        <w:rPr>
          <w:rFonts w:ascii="Arial" w:hAnsi="Arial" w:cs="Arial"/>
          <w:b/>
          <w:bCs/>
          <w:sz w:val="20"/>
          <w:szCs w:val="20"/>
        </w:rPr>
        <w:t xml:space="preserve"> ADMINISTRATIVO</w:t>
      </w:r>
    </w:p>
    <w:p w14:paraId="744C39D1" w14:textId="77777777" w:rsidR="004C1C0B" w:rsidRDefault="004C1C0B" w:rsidP="006B1914">
      <w:pPr>
        <w:jc w:val="center"/>
        <w:rPr>
          <w:rFonts w:ascii="Arial" w:hAnsi="Arial" w:cs="Arial"/>
          <w:b/>
          <w:bCs/>
          <w:sz w:val="20"/>
          <w:szCs w:val="20"/>
        </w:rPr>
      </w:pPr>
    </w:p>
    <w:p w14:paraId="7BC0D322" w14:textId="6F4CD2C9" w:rsidR="006B1914" w:rsidRDefault="006B1914" w:rsidP="006B1914">
      <w:pPr>
        <w:jc w:val="center"/>
        <w:rPr>
          <w:rFonts w:ascii="Arial" w:hAnsi="Arial" w:cs="Arial"/>
          <w:b/>
          <w:bCs/>
          <w:sz w:val="20"/>
          <w:szCs w:val="20"/>
        </w:rPr>
      </w:pPr>
      <w:r w:rsidRPr="006B1914">
        <w:rPr>
          <w:rFonts w:ascii="Arial" w:hAnsi="Arial" w:cs="Arial"/>
          <w:b/>
          <w:bCs/>
          <w:sz w:val="20"/>
          <w:szCs w:val="20"/>
        </w:rPr>
        <w:t>LUCIO FLÁVIO CAMPOS MENDES</w:t>
      </w:r>
      <w:r w:rsidRPr="006B1914">
        <w:rPr>
          <w:rFonts w:ascii="Arial" w:hAnsi="Arial" w:cs="Arial"/>
          <w:b/>
          <w:bCs/>
          <w:sz w:val="20"/>
          <w:szCs w:val="20"/>
        </w:rPr>
        <w:br/>
        <w:t>DIRETOR DE NEGÓCIOS</w:t>
      </w:r>
    </w:p>
    <w:p w14:paraId="2B01C1BD" w14:textId="77777777" w:rsidR="004C1C0B" w:rsidRDefault="004C1C0B" w:rsidP="006B1914">
      <w:pPr>
        <w:jc w:val="center"/>
        <w:rPr>
          <w:rFonts w:ascii="Arial" w:hAnsi="Arial" w:cs="Arial"/>
          <w:b/>
          <w:bCs/>
          <w:sz w:val="20"/>
          <w:szCs w:val="20"/>
        </w:rPr>
      </w:pPr>
    </w:p>
    <w:p w14:paraId="7E4B1989" w14:textId="3E1424BF" w:rsidR="006B1914" w:rsidRDefault="006B1914" w:rsidP="006B1914">
      <w:pPr>
        <w:jc w:val="center"/>
        <w:divId w:val="1005942925"/>
        <w:rPr>
          <w:rFonts w:ascii="Arial" w:hAnsi="Arial" w:cs="Arial"/>
          <w:b/>
          <w:bCs/>
          <w:sz w:val="20"/>
          <w:szCs w:val="20"/>
        </w:rPr>
      </w:pPr>
      <w:r w:rsidRPr="006B1914">
        <w:rPr>
          <w:rFonts w:ascii="Arial" w:hAnsi="Arial" w:cs="Arial"/>
          <w:b/>
          <w:bCs/>
          <w:sz w:val="20"/>
          <w:szCs w:val="20"/>
        </w:rPr>
        <w:lastRenderedPageBreak/>
        <w:t xml:space="preserve">MARIA JOSÉ SILVA SOUSA    </w:t>
      </w:r>
      <w:r w:rsidRPr="006B1914">
        <w:rPr>
          <w:rFonts w:ascii="Arial" w:hAnsi="Arial" w:cs="Arial"/>
          <w:b/>
          <w:bCs/>
          <w:sz w:val="20"/>
          <w:szCs w:val="20"/>
        </w:rPr>
        <w:br/>
        <w:t>DIRETORA DE RISCOS E COMPLIANC</w:t>
      </w:r>
      <w:r>
        <w:rPr>
          <w:rFonts w:ascii="Arial" w:hAnsi="Arial" w:cs="Arial"/>
          <w:b/>
          <w:bCs/>
          <w:sz w:val="20"/>
          <w:szCs w:val="20"/>
        </w:rPr>
        <w:t>E</w:t>
      </w:r>
    </w:p>
    <w:p w14:paraId="2232FF6D" w14:textId="77777777" w:rsidR="004C1C0B" w:rsidRDefault="004C1C0B" w:rsidP="006B1914">
      <w:pPr>
        <w:jc w:val="center"/>
        <w:divId w:val="1005942925"/>
        <w:rPr>
          <w:rFonts w:ascii="Arial" w:hAnsi="Arial" w:cs="Arial"/>
          <w:b/>
          <w:bCs/>
          <w:sz w:val="20"/>
          <w:szCs w:val="20"/>
        </w:rPr>
      </w:pPr>
    </w:p>
    <w:p w14:paraId="4EA009AC" w14:textId="726A7BE4" w:rsidR="006B1914" w:rsidRPr="006B1914" w:rsidRDefault="006B1914" w:rsidP="006B1914">
      <w:pPr>
        <w:jc w:val="center"/>
        <w:divId w:val="1005942925"/>
        <w:rPr>
          <w:rFonts w:ascii="Arial" w:hAnsi="Arial" w:cs="Arial"/>
          <w:sz w:val="20"/>
          <w:szCs w:val="20"/>
        </w:rPr>
        <w:sectPr w:rsidR="006B1914" w:rsidRPr="006B1914" w:rsidSect="005F6BF6">
          <w:pgSz w:w="12240" w:h="15840"/>
          <w:pgMar w:top="1134" w:right="1134" w:bottom="1134" w:left="1134" w:header="720" w:footer="720" w:gutter="0"/>
          <w:pgNumType w:start="1"/>
          <w:cols w:space="720"/>
        </w:sectPr>
      </w:pPr>
      <w:r w:rsidRPr="006B1914">
        <w:rPr>
          <w:rFonts w:ascii="Arial" w:hAnsi="Arial" w:cs="Arial"/>
          <w:b/>
          <w:bCs/>
          <w:sz w:val="20"/>
          <w:szCs w:val="20"/>
        </w:rPr>
        <w:t>RUBENS MIGUEL PEREIRA</w:t>
      </w:r>
      <w:r w:rsidRPr="006B1914">
        <w:rPr>
          <w:rFonts w:ascii="Arial" w:hAnsi="Arial" w:cs="Arial"/>
          <w:b/>
          <w:bCs/>
          <w:sz w:val="20"/>
          <w:szCs w:val="20"/>
        </w:rPr>
        <w:br/>
        <w:t>CONTADOR -</w:t>
      </w:r>
      <w:r w:rsidR="001907F5">
        <w:rPr>
          <w:rFonts w:ascii="Arial" w:hAnsi="Arial" w:cs="Arial"/>
          <w:b/>
          <w:bCs/>
          <w:sz w:val="20"/>
          <w:szCs w:val="20"/>
        </w:rPr>
        <w:t xml:space="preserve"> </w:t>
      </w:r>
      <w:r w:rsidRPr="006B1914">
        <w:rPr>
          <w:rFonts w:ascii="Arial" w:hAnsi="Arial" w:cs="Arial"/>
          <w:b/>
          <w:bCs/>
          <w:sz w:val="20"/>
          <w:szCs w:val="20"/>
        </w:rPr>
        <w:t>CRC/MG 091.409/O-6</w:t>
      </w:r>
    </w:p>
    <w:p w14:paraId="7379EBBA" w14:textId="77777777" w:rsidR="00FE0C5A" w:rsidRDefault="000C18DB">
      <w:pPr>
        <w:pStyle w:val="Cabealho"/>
        <w:divId w:val="1005942925"/>
      </w:pPr>
      <w:r>
        <w:rPr>
          <w:noProof/>
        </w:rPr>
        <w:lastRenderedPageBreak/>
        <w:drawing>
          <wp:inline distT="0" distB="0" distL="0" distR="0" wp14:anchorId="0A017E72" wp14:editId="765C8B71">
            <wp:extent cx="304800" cy="304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755394E" w14:textId="73AB483A" w:rsidR="00FE0C5A" w:rsidRDefault="000C18DB">
      <w:pPr>
        <w:divId w:val="1717460920"/>
        <w:rPr>
          <w:rFonts w:eastAsia="Times New Roman"/>
        </w:rPr>
      </w:pPr>
      <w:r>
        <w:rPr>
          <w:noProof/>
        </w:rPr>
        <w:pict w14:anchorId="7F04D65F">
          <v:rect id="AutoShape 1027" o:spid="_x0000_s2051"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6902E354">
          <v:rect id="_x0000_s2050"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p>
    <w:p w14:paraId="0B842D32" w14:textId="77777777" w:rsidR="00FE0C5A" w:rsidRDefault="000C18DB">
      <w:pPr>
        <w:pStyle w:val="Rodap"/>
        <w:divId w:val="1717460920"/>
      </w:pPr>
      <w:r>
        <w:tab/>
      </w:r>
      <w:r>
        <w:tab/>
        <w:t xml:space="preserve"> </w:t>
      </w:r>
      <w:r>
        <w:fldChar w:fldCharType="begin"/>
      </w:r>
      <w:r>
        <w:instrText>PAGE</w:instrText>
      </w:r>
      <w:r>
        <w:fldChar w:fldCharType="separate"/>
      </w:r>
      <w:r>
        <w:t xml:space="preserve"> </w:t>
      </w:r>
      <w:r>
        <w:fldChar w:fldCharType="end"/>
      </w:r>
    </w:p>
    <w:p w14:paraId="68C6920E" w14:textId="77777777" w:rsidR="00114941" w:rsidRDefault="00114941"/>
    <w:sectPr w:rsidR="00114941" w:rsidSect="005F6BF6">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80F7E" w14:textId="77777777" w:rsidR="005F6BF6" w:rsidRDefault="005F6BF6" w:rsidP="0073565A">
      <w:pPr>
        <w:spacing w:after="0" w:line="240" w:lineRule="auto"/>
      </w:pPr>
      <w:r>
        <w:separator/>
      </w:r>
    </w:p>
  </w:endnote>
  <w:endnote w:type="continuationSeparator" w:id="0">
    <w:p w14:paraId="013C5934" w14:textId="77777777" w:rsidR="005F6BF6" w:rsidRDefault="005F6BF6" w:rsidP="0073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3B71D" w14:textId="1BBD3CD7" w:rsidR="00FE0C5A" w:rsidRDefault="000C18DB">
    <w:pPr>
      <w:rPr>
        <w:rFonts w:eastAsia="Times New Roman"/>
      </w:rPr>
    </w:pPr>
    <w:r>
      <w:rPr>
        <w:noProof/>
      </w:rPr>
      <w:pict w14:anchorId="484908CE">
        <v:rect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3FDA8392">
        <v:rect id="Picture 1" o:spid="_x0000_s1025"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w:r>
  </w:p>
  <w:p w14:paraId="0F74BC23" w14:textId="10E759D5" w:rsidR="00FE0C5A" w:rsidRDefault="000C18DB">
    <w:pPr>
      <w:pStyle w:val="Rodap"/>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C64FD" w14:textId="77777777" w:rsidR="005F6BF6" w:rsidRDefault="005F6BF6" w:rsidP="0073565A">
      <w:pPr>
        <w:spacing w:after="0" w:line="240" w:lineRule="auto"/>
      </w:pPr>
      <w:r>
        <w:separator/>
      </w:r>
    </w:p>
  </w:footnote>
  <w:footnote w:type="continuationSeparator" w:id="0">
    <w:p w14:paraId="763F51E7" w14:textId="77777777" w:rsidR="005F6BF6" w:rsidRDefault="005F6BF6" w:rsidP="007356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4941"/>
    <w:rsid w:val="00000C75"/>
    <w:rsid w:val="00060DA0"/>
    <w:rsid w:val="0009314D"/>
    <w:rsid w:val="000C18DB"/>
    <w:rsid w:val="000E2E9F"/>
    <w:rsid w:val="00114941"/>
    <w:rsid w:val="001907F5"/>
    <w:rsid w:val="001A08B4"/>
    <w:rsid w:val="001A63AA"/>
    <w:rsid w:val="0024003D"/>
    <w:rsid w:val="00253515"/>
    <w:rsid w:val="003250E1"/>
    <w:rsid w:val="003813C6"/>
    <w:rsid w:val="003C792F"/>
    <w:rsid w:val="00431FFA"/>
    <w:rsid w:val="004565FC"/>
    <w:rsid w:val="004C1C0B"/>
    <w:rsid w:val="005A1437"/>
    <w:rsid w:val="005F6BF6"/>
    <w:rsid w:val="00663642"/>
    <w:rsid w:val="00674414"/>
    <w:rsid w:val="006B1914"/>
    <w:rsid w:val="0073565A"/>
    <w:rsid w:val="00785EE1"/>
    <w:rsid w:val="007E7909"/>
    <w:rsid w:val="007F3F9E"/>
    <w:rsid w:val="0081129F"/>
    <w:rsid w:val="008B0FC5"/>
    <w:rsid w:val="0096686A"/>
    <w:rsid w:val="009B40DD"/>
    <w:rsid w:val="00A55462"/>
    <w:rsid w:val="00B34EBB"/>
    <w:rsid w:val="00B9449F"/>
    <w:rsid w:val="00C14632"/>
    <w:rsid w:val="00C17D14"/>
    <w:rsid w:val="00C55ACF"/>
    <w:rsid w:val="00C7563D"/>
    <w:rsid w:val="00CC11C2"/>
    <w:rsid w:val="00CF1777"/>
    <w:rsid w:val="00D91CF6"/>
    <w:rsid w:val="00DD1F19"/>
    <w:rsid w:val="00E432B3"/>
    <w:rsid w:val="00E77244"/>
    <w:rsid w:val="00E8184F"/>
    <w:rsid w:val="00E940B1"/>
    <w:rsid w:val="00EB357C"/>
    <w:rsid w:val="00F113BD"/>
    <w:rsid w:val="00F11B97"/>
    <w:rsid w:val="00FA16BF"/>
    <w:rsid w:val="00FE0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F94056C"/>
  <w15:docId w15:val="{BC11D2FB-1C84-4F08-A395-2586393C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line="240" w:lineRule="auto"/>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spacing w:after="0" w:line="240" w:lineRule="auto"/>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line="240" w:lineRule="auto"/>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919952">
      <w:bodyDiv w:val="1"/>
      <w:marLeft w:val="0"/>
      <w:marRight w:val="0"/>
      <w:marTop w:val="0"/>
      <w:marBottom w:val="0"/>
      <w:divBdr>
        <w:top w:val="none" w:sz="0" w:space="0" w:color="auto"/>
        <w:left w:val="none" w:sz="0" w:space="0" w:color="auto"/>
        <w:bottom w:val="none" w:sz="0" w:space="0" w:color="auto"/>
        <w:right w:val="none" w:sz="0" w:space="0" w:color="auto"/>
      </w:divBdr>
    </w:div>
    <w:div w:id="1005942925">
      <w:marLeft w:val="0"/>
      <w:marRight w:val="0"/>
      <w:marTop w:val="0"/>
      <w:marBottom w:val="0"/>
      <w:divBdr>
        <w:top w:val="none" w:sz="0" w:space="0" w:color="auto"/>
        <w:left w:val="none" w:sz="0" w:space="0" w:color="auto"/>
        <w:bottom w:val="none" w:sz="0" w:space="0" w:color="auto"/>
        <w:right w:val="none" w:sz="0" w:space="0" w:color="auto"/>
      </w:divBdr>
    </w:div>
    <w:div w:id="1481383056">
      <w:marLeft w:val="0"/>
      <w:marRight w:val="0"/>
      <w:marTop w:val="0"/>
      <w:marBottom w:val="0"/>
      <w:divBdr>
        <w:top w:val="none" w:sz="0" w:space="0" w:color="auto"/>
        <w:left w:val="none" w:sz="0" w:space="0" w:color="auto"/>
        <w:bottom w:val="none" w:sz="0" w:space="0" w:color="auto"/>
        <w:right w:val="none" w:sz="0" w:space="0" w:color="auto"/>
      </w:divBdr>
    </w:div>
    <w:div w:id="171746092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sicoob.jp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1" ma:contentTypeDescription="Crie um novo documento." ma:contentTypeScope="" ma:versionID="1da33144445bc2496beeee253a87340a">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bf5b52a14ad0a11f13202d979d3c5968"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E68AF-755F-46BC-B361-91C7986CA3F5}">
  <ds:schemaRefs>
    <ds:schemaRef ds:uri="http://schemas.microsoft.com/sharepoint/v3/contenttype/forms"/>
  </ds:schemaRefs>
</ds:datastoreItem>
</file>

<file path=customXml/itemProps2.xml><?xml version="1.0" encoding="utf-8"?>
<ds:datastoreItem xmlns:ds="http://schemas.openxmlformats.org/officeDocument/2006/customXml" ds:itemID="{C48DB46B-3564-4F50-BB67-AEC5C8DF1550}">
  <ds:schemaRefs>
    <ds:schemaRef ds:uri="http://schemas.microsoft.com/office/2006/metadata/properties"/>
    <ds:schemaRef ds:uri="http://schemas.microsoft.com/office/infopath/2007/PartnerControls"/>
    <ds:schemaRef ds:uri="http://schemas.microsoft.com/sharepoint/v3"/>
    <ds:schemaRef ds:uri="befdb7d1-170a-4b5e-ae52-1b23b97218a6"/>
    <ds:schemaRef ds:uri="7047844b-91cd-46c7-a54d-f5e048b0b675"/>
  </ds:schemaRefs>
</ds:datastoreItem>
</file>

<file path=customXml/itemProps3.xml><?xml version="1.0" encoding="utf-8"?>
<ds:datastoreItem xmlns:ds="http://schemas.openxmlformats.org/officeDocument/2006/customXml" ds:itemID="{77CBE9D3-A755-4A49-AB14-BB74E0351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36</Pages>
  <Words>16576</Words>
  <Characters>89516</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3177 - Renata Miranda Pereira Tana</cp:lastModifiedBy>
  <cp:revision>37</cp:revision>
  <dcterms:created xsi:type="dcterms:W3CDTF">2024-03-05T17:38:00Z</dcterms:created>
  <dcterms:modified xsi:type="dcterms:W3CDTF">2024-03-28T11:45:00Z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2024-03-05T17:38:28Z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16fb319c-9b33-4bac-9a5c-1788daab0710</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y fmtid="{D5CDD505-2E9C-101B-9397-08002B2CF9AE}" pid="10" name="MSIP_Label_444b72c9-df86-4ad9-b13e-6f826ef494bf_Enabled">
    <vt:lpwstr>true</vt:lpwstr>
  </property>
  <property fmtid="{D5CDD505-2E9C-101B-9397-08002B2CF9AE}" pid="11" name="MSIP_Label_444b72c9-df86-4ad9-b13e-6f826ef494bf_SetDate">
    <vt:lpwstr>2024-03-28T11:45:49Z</vt:lpwstr>
  </property>
  <property fmtid="{D5CDD505-2E9C-101B-9397-08002B2CF9AE}" pid="12" name="MSIP_Label_444b72c9-df86-4ad9-b13e-6f826ef494bf_Method">
    <vt:lpwstr>Privileged</vt:lpwstr>
  </property>
  <property fmtid="{D5CDD505-2E9C-101B-9397-08002B2CF9AE}" pid="13" name="MSIP_Label_444b72c9-df86-4ad9-b13e-6f826ef494bf_Name">
    <vt:lpwstr>PÚBLICA</vt:lpwstr>
  </property>
  <property fmtid="{D5CDD505-2E9C-101B-9397-08002B2CF9AE}" pid="14" name="MSIP_Label_444b72c9-df86-4ad9-b13e-6f826ef494bf_SiteId">
    <vt:lpwstr>28b886f2-1894-4dda-9cf2-066ad2e94c2c</vt:lpwstr>
  </property>
  <property fmtid="{D5CDD505-2E9C-101B-9397-08002B2CF9AE}" pid="15" name="MSIP_Label_444b72c9-df86-4ad9-b13e-6f826ef494bf_ActionId">
    <vt:lpwstr>714f84e9-88f4-4481-8196-03e557fd45cb</vt:lpwstr>
  </property>
  <property fmtid="{D5CDD505-2E9C-101B-9397-08002B2CF9AE}" pid="16" name="MSIP_Label_444b72c9-df86-4ad9-b13e-6f826ef494bf_ContentBits">
    <vt:lpwstr>0</vt:lpwstr>
  </property>
</Properties>
</file>