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16B8" w14:textId="77777777" w:rsidR="003F6724" w:rsidRPr="00A655BB" w:rsidRDefault="003F6724">
      <w:pPr>
        <w:pStyle w:val="Ttulo7"/>
        <w:rPr>
          <w:rFonts w:cs="Arial"/>
          <w:sz w:val="20"/>
        </w:rPr>
      </w:pPr>
      <w:r w:rsidRPr="00A655BB">
        <w:rPr>
          <w:rFonts w:cs="Arial"/>
          <w:sz w:val="20"/>
        </w:rPr>
        <w:t>Relatório da Administração</w:t>
      </w:r>
    </w:p>
    <w:p w14:paraId="0A6182BD" w14:textId="77777777" w:rsidR="003F6724" w:rsidRDefault="003F6724">
      <w:pPr>
        <w:rPr>
          <w:rFonts w:ascii="Arial" w:hAnsi="Arial" w:cs="Arial"/>
        </w:rPr>
      </w:pPr>
    </w:p>
    <w:p w14:paraId="59E143BB" w14:textId="77777777" w:rsidR="003F6724" w:rsidRPr="00A655BB" w:rsidRDefault="003F6724">
      <w:pPr>
        <w:rPr>
          <w:rFonts w:ascii="Arial" w:hAnsi="Arial" w:cs="Arial"/>
        </w:rPr>
      </w:pPr>
      <w:r w:rsidRPr="00A655BB">
        <w:rPr>
          <w:rFonts w:ascii="Arial" w:hAnsi="Arial" w:cs="Arial"/>
        </w:rPr>
        <w:t>Senhores Associados,</w:t>
      </w:r>
    </w:p>
    <w:p w14:paraId="31F04A2E" w14:textId="77777777" w:rsidR="003F6724" w:rsidRPr="00A655BB" w:rsidRDefault="003F6724">
      <w:pPr>
        <w:rPr>
          <w:rFonts w:ascii="Arial" w:hAnsi="Arial" w:cs="Arial"/>
        </w:rPr>
      </w:pPr>
    </w:p>
    <w:p w14:paraId="6A5A9A1B" w14:textId="015B9CCF" w:rsidR="003F6724" w:rsidRDefault="003F6724" w:rsidP="003B46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10B7">
        <w:rPr>
          <w:rFonts w:ascii="Arial" w:hAnsi="Arial" w:cs="Arial"/>
        </w:rPr>
        <w:t xml:space="preserve">Submetemos à apreciação de V.S.as as Demonstrações Contábeis do </w:t>
      </w:r>
      <w:r w:rsidR="005C4CA8">
        <w:rPr>
          <w:rFonts w:ascii="Arial" w:hAnsi="Arial" w:cs="Arial"/>
        </w:rPr>
        <w:t>exercício</w:t>
      </w:r>
      <w:r>
        <w:rPr>
          <w:rFonts w:ascii="Arial" w:hAnsi="Arial" w:cs="Arial"/>
        </w:rPr>
        <w:t xml:space="preserve"> de 2021</w:t>
      </w:r>
      <w:r w:rsidRPr="003310B7">
        <w:rPr>
          <w:rFonts w:ascii="Arial" w:hAnsi="Arial" w:cs="Arial"/>
        </w:rPr>
        <w:t xml:space="preserve"> da </w:t>
      </w:r>
      <w:r w:rsidR="00225F3D" w:rsidRPr="00225F3D">
        <w:rPr>
          <w:rFonts w:ascii="Arial" w:hAnsi="Arial" w:cs="Arial"/>
          <w:noProof/>
        </w:rPr>
        <w:t>CCLA DE MARTINHO CAMPOS LTDA - SICOOB CREDIMAC</w:t>
      </w:r>
      <w:r w:rsidR="005C4CA8">
        <w:rPr>
          <w:rFonts w:ascii="Arial" w:hAnsi="Arial" w:cs="Arial"/>
          <w:noProof/>
        </w:rPr>
        <w:t xml:space="preserve"> </w:t>
      </w:r>
      <w:r w:rsidRPr="003310B7">
        <w:rPr>
          <w:rFonts w:ascii="Arial" w:hAnsi="Arial" w:cs="Arial"/>
        </w:rPr>
        <w:t xml:space="preserve">na forma da </w:t>
      </w:r>
      <w:r>
        <w:rPr>
          <w:rFonts w:ascii="Arial" w:hAnsi="Arial" w:cs="Arial"/>
        </w:rPr>
        <w:t>l</w:t>
      </w:r>
      <w:r w:rsidRPr="003310B7">
        <w:rPr>
          <w:rFonts w:ascii="Arial" w:hAnsi="Arial" w:cs="Arial"/>
        </w:rPr>
        <w:t>egislação em vigor.</w:t>
      </w:r>
    </w:p>
    <w:p w14:paraId="30D6DE05" w14:textId="77777777" w:rsidR="003F6724" w:rsidRPr="00A655BB" w:rsidRDefault="003F6724" w:rsidP="003B46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1021FC" w14:textId="77777777" w:rsidR="003F6724" w:rsidRPr="00A655BB" w:rsidRDefault="003F6724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Operacional</w:t>
      </w:r>
    </w:p>
    <w:p w14:paraId="0BF494EB" w14:textId="77777777" w:rsidR="003F6724" w:rsidRPr="00A655BB" w:rsidRDefault="003F6724">
      <w:pPr>
        <w:rPr>
          <w:rFonts w:ascii="Arial" w:hAnsi="Arial" w:cs="Arial"/>
        </w:rPr>
      </w:pPr>
    </w:p>
    <w:p w14:paraId="4101C314" w14:textId="55666A22" w:rsidR="003F6724" w:rsidRPr="00A655BB" w:rsidRDefault="003F6724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2021</w:t>
      </w:r>
      <w:r w:rsidRPr="00A655B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="00225F3D" w:rsidRPr="00225F3D">
        <w:rPr>
          <w:rFonts w:ascii="Arial" w:hAnsi="Arial" w:cs="Arial"/>
          <w:noProof/>
        </w:rPr>
        <w:t>SICOOB CREDIMAC</w:t>
      </w:r>
      <w:r w:rsidR="00AA30A3">
        <w:rPr>
          <w:rFonts w:ascii="Arial" w:hAnsi="Arial" w:cs="Arial"/>
          <w:noProof/>
        </w:rPr>
        <w:t xml:space="preserve"> </w:t>
      </w:r>
      <w:r w:rsidRPr="00A655BB">
        <w:rPr>
          <w:rFonts w:ascii="Arial" w:hAnsi="Arial" w:cs="Arial"/>
        </w:rPr>
        <w:t>complet</w:t>
      </w:r>
      <w:r>
        <w:rPr>
          <w:rFonts w:ascii="Arial" w:hAnsi="Arial" w:cs="Arial"/>
        </w:rPr>
        <w:t>a</w:t>
      </w:r>
      <w:r w:rsidRPr="00A655BB">
        <w:rPr>
          <w:rFonts w:ascii="Arial" w:hAnsi="Arial" w:cs="Arial"/>
        </w:rPr>
        <w:t xml:space="preserve"> </w:t>
      </w:r>
      <w:r w:rsidR="00225F3D">
        <w:rPr>
          <w:rFonts w:ascii="Arial" w:hAnsi="Arial" w:cs="Arial"/>
          <w:noProof/>
        </w:rPr>
        <w:t>29</w:t>
      </w:r>
      <w:r w:rsidR="00225F3D"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anos</w:t>
      </w:r>
      <w:r>
        <w:rPr>
          <w:rFonts w:ascii="Arial" w:hAnsi="Arial" w:cs="Arial"/>
        </w:rPr>
        <w:t>,</w:t>
      </w:r>
      <w:r w:rsidRPr="00A655BB">
        <w:rPr>
          <w:rFonts w:ascii="Arial" w:hAnsi="Arial" w:cs="Arial"/>
        </w:rPr>
        <w:t xml:space="preserve"> mantendo sua vocação de instituição voltada para fomentar o crédito para seu público</w:t>
      </w:r>
      <w:r>
        <w:rPr>
          <w:rFonts w:ascii="Arial" w:hAnsi="Arial" w:cs="Arial"/>
        </w:rPr>
        <w:t>-</w:t>
      </w:r>
      <w:r w:rsidRPr="00A655BB">
        <w:rPr>
          <w:rFonts w:ascii="Arial" w:hAnsi="Arial" w:cs="Arial"/>
        </w:rPr>
        <w:t xml:space="preserve">alvo, os cooperados. A atuação junto aos seus cooperados se dá principalmente através da concessão de empréstimos e captação de depósitos. </w:t>
      </w:r>
    </w:p>
    <w:p w14:paraId="7BA5A995" w14:textId="77777777" w:rsidR="003F6724" w:rsidRPr="00A655BB" w:rsidRDefault="003F6724">
      <w:pPr>
        <w:jc w:val="both"/>
        <w:rPr>
          <w:rFonts w:ascii="Arial" w:hAnsi="Arial" w:cs="Arial"/>
        </w:rPr>
      </w:pPr>
    </w:p>
    <w:p w14:paraId="1D67B8BC" w14:textId="77777777" w:rsidR="003F6724" w:rsidRPr="00A655BB" w:rsidRDefault="003F6724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Avaliação de Resultados</w:t>
      </w:r>
    </w:p>
    <w:p w14:paraId="2F26C4A9" w14:textId="77777777" w:rsidR="003F6724" w:rsidRDefault="003F6724">
      <w:pPr>
        <w:jc w:val="both"/>
        <w:rPr>
          <w:rFonts w:ascii="Arial" w:hAnsi="Arial" w:cs="Arial"/>
        </w:rPr>
      </w:pPr>
    </w:p>
    <w:p w14:paraId="7D53625B" w14:textId="734E7E9B" w:rsidR="003F6724" w:rsidRPr="00A655BB" w:rsidRDefault="003F67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487539">
        <w:rPr>
          <w:rFonts w:ascii="Arial" w:hAnsi="Arial" w:cs="Arial"/>
        </w:rPr>
        <w:t>exercício</w:t>
      </w:r>
      <w:r w:rsidRPr="001835E9">
        <w:rPr>
          <w:rFonts w:ascii="Arial" w:hAnsi="Arial" w:cs="Arial"/>
        </w:rPr>
        <w:t xml:space="preserve"> de 2021</w:t>
      </w:r>
      <w:r w:rsidRPr="00A655BB">
        <w:rPr>
          <w:rFonts w:ascii="Arial" w:hAnsi="Arial" w:cs="Arial"/>
        </w:rPr>
        <w:t>, o</w:t>
      </w:r>
      <w:r>
        <w:rPr>
          <w:rFonts w:ascii="Arial" w:hAnsi="Arial" w:cs="Arial"/>
        </w:rPr>
        <w:t xml:space="preserve"> </w:t>
      </w:r>
      <w:r w:rsidR="00225F3D" w:rsidRPr="00225F3D">
        <w:rPr>
          <w:rFonts w:ascii="Arial" w:hAnsi="Arial" w:cs="Arial"/>
          <w:noProof/>
        </w:rPr>
        <w:t>SICOOB CREDIMAC</w:t>
      </w:r>
      <w:r w:rsidR="0048753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obteve um resultado de R$ </w:t>
      </w:r>
      <w:r w:rsidR="00225F3D" w:rsidRPr="00225F3D">
        <w:rPr>
          <w:rFonts w:ascii="Arial" w:hAnsi="Arial" w:cs="Arial"/>
          <w:noProof/>
        </w:rPr>
        <w:t>2.681.401,46</w:t>
      </w:r>
      <w:r w:rsidR="00D95E78">
        <w:rPr>
          <w:rFonts w:ascii="Arial" w:hAnsi="Arial" w:cs="Arial"/>
          <w:noProof/>
        </w:rPr>
        <w:t>,</w:t>
      </w:r>
      <w:r w:rsidR="00842455" w:rsidRPr="00842455">
        <w:rPr>
          <w:rFonts w:ascii="Arial" w:hAnsi="Arial" w:cs="Arial"/>
          <w:noProof/>
        </w:rPr>
        <w:t xml:space="preserve"> </w:t>
      </w:r>
      <w:r w:rsidRPr="00A655BB">
        <w:rPr>
          <w:rFonts w:ascii="Arial" w:hAnsi="Arial" w:cs="Arial"/>
        </w:rPr>
        <w:t xml:space="preserve">representando um </w:t>
      </w:r>
      <w:r w:rsidRPr="003164E8">
        <w:rPr>
          <w:rFonts w:ascii="Arial" w:hAnsi="Arial" w:cs="Arial"/>
        </w:rPr>
        <w:t>retorno sobre</w:t>
      </w:r>
      <w:r w:rsidRPr="00A655BB">
        <w:rPr>
          <w:rFonts w:ascii="Arial" w:hAnsi="Arial" w:cs="Arial"/>
        </w:rPr>
        <w:t xml:space="preserve"> o Patrimônio Líquido de</w:t>
      </w:r>
      <w:r>
        <w:rPr>
          <w:rFonts w:ascii="Arial" w:hAnsi="Arial" w:cs="Arial"/>
        </w:rPr>
        <w:t xml:space="preserve"> </w:t>
      </w:r>
      <w:r w:rsidR="00225F3D" w:rsidRPr="00225F3D">
        <w:rPr>
          <w:rFonts w:ascii="Arial" w:hAnsi="Arial" w:cs="Arial"/>
        </w:rPr>
        <w:t>3,38</w:t>
      </w:r>
      <w:r w:rsidRPr="00225F3D">
        <w:rPr>
          <w:rFonts w:ascii="Arial" w:hAnsi="Arial" w:cs="Arial"/>
          <w:noProof/>
        </w:rPr>
        <w:t>%</w:t>
      </w:r>
      <w:r w:rsidR="006C613C">
        <w:rPr>
          <w:rFonts w:ascii="Arial" w:hAnsi="Arial" w:cs="Arial"/>
          <w:noProof/>
        </w:rPr>
        <w:t xml:space="preserve"> </w:t>
      </w:r>
      <w:r w:rsidR="00D20FDF">
        <w:rPr>
          <w:rFonts w:ascii="Arial" w:hAnsi="Arial" w:cs="Arial"/>
          <w:noProof/>
        </w:rPr>
        <w:t xml:space="preserve">em relação a </w:t>
      </w:r>
      <w:r w:rsidR="00B30824">
        <w:rPr>
          <w:rFonts w:ascii="Arial" w:hAnsi="Arial" w:cs="Arial"/>
          <w:noProof/>
        </w:rPr>
        <w:t xml:space="preserve">dezembro de </w:t>
      </w:r>
      <w:r w:rsidR="00D20FDF">
        <w:rPr>
          <w:rFonts w:ascii="Arial" w:hAnsi="Arial" w:cs="Arial"/>
          <w:noProof/>
        </w:rPr>
        <w:t>2020</w:t>
      </w:r>
      <w:r w:rsidRPr="00A655BB">
        <w:rPr>
          <w:rFonts w:ascii="Arial" w:hAnsi="Arial" w:cs="Arial"/>
        </w:rPr>
        <w:t>.</w:t>
      </w:r>
    </w:p>
    <w:p w14:paraId="02F12A88" w14:textId="77777777" w:rsidR="003F6724" w:rsidRPr="00A655BB" w:rsidRDefault="003F6724">
      <w:pPr>
        <w:jc w:val="both"/>
        <w:rPr>
          <w:rFonts w:ascii="Arial" w:hAnsi="Arial" w:cs="Arial"/>
          <w:b/>
        </w:rPr>
      </w:pPr>
    </w:p>
    <w:p w14:paraId="78F9656A" w14:textId="77777777" w:rsidR="003F6724" w:rsidRPr="00A655BB" w:rsidRDefault="003F6724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Ativos</w:t>
      </w:r>
    </w:p>
    <w:p w14:paraId="12B494B1" w14:textId="77777777" w:rsidR="003F6724" w:rsidRPr="00A655BB" w:rsidRDefault="003F6724">
      <w:pPr>
        <w:jc w:val="both"/>
        <w:rPr>
          <w:rFonts w:ascii="Arial" w:hAnsi="Arial" w:cs="Arial"/>
        </w:rPr>
      </w:pPr>
    </w:p>
    <w:p w14:paraId="34B8F430" w14:textId="475E8360" w:rsidR="003F6724" w:rsidRPr="00A655BB" w:rsidRDefault="003F6724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Os recursos depositados na Ce</w:t>
      </w:r>
      <w:r>
        <w:rPr>
          <w:rFonts w:ascii="Arial" w:hAnsi="Arial" w:cs="Arial"/>
        </w:rPr>
        <w:t xml:space="preserve">ntralização Financeira somaram R$ </w:t>
      </w:r>
      <w:r w:rsidR="00251981">
        <w:rPr>
          <w:rFonts w:ascii="Arial" w:hAnsi="Arial" w:cs="Arial"/>
          <w:noProof/>
        </w:rPr>
        <w:t>31.918.532,83</w:t>
      </w:r>
      <w:r>
        <w:rPr>
          <w:rFonts w:ascii="Arial" w:hAnsi="Arial" w:cs="Arial"/>
        </w:rPr>
        <w:t xml:space="preserve">. </w:t>
      </w:r>
      <w:r w:rsidRPr="00A655BB">
        <w:rPr>
          <w:rFonts w:ascii="Arial" w:hAnsi="Arial" w:cs="Arial"/>
        </w:rPr>
        <w:t>Por sua vez a carte</w:t>
      </w:r>
      <w:r>
        <w:rPr>
          <w:rFonts w:ascii="Arial" w:hAnsi="Arial" w:cs="Arial"/>
        </w:rPr>
        <w:t xml:space="preserve">ira de créditos representava R$ </w:t>
      </w:r>
      <w:r w:rsidR="00251981">
        <w:rPr>
          <w:rFonts w:ascii="Arial" w:hAnsi="Arial" w:cs="Arial"/>
          <w:noProof/>
        </w:rPr>
        <w:t>53.132.054,33</w:t>
      </w:r>
      <w:r w:rsidRPr="00A655BB">
        <w:rPr>
          <w:rFonts w:ascii="Arial" w:hAnsi="Arial" w:cs="Arial"/>
        </w:rPr>
        <w:t>.</w:t>
      </w:r>
    </w:p>
    <w:p w14:paraId="367C9D85" w14:textId="77777777" w:rsidR="003F6724" w:rsidRPr="00A655BB" w:rsidRDefault="003F6724">
      <w:pPr>
        <w:jc w:val="both"/>
        <w:rPr>
          <w:rFonts w:ascii="Arial" w:hAnsi="Arial" w:cs="Arial"/>
        </w:rPr>
      </w:pPr>
    </w:p>
    <w:p w14:paraId="65B3C71D" w14:textId="77777777" w:rsidR="003F6724" w:rsidRPr="00A655BB" w:rsidRDefault="003F6724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carteira de crédito encontrava-se assim distribuída:</w:t>
      </w:r>
    </w:p>
    <w:p w14:paraId="3CEA8E89" w14:textId="77777777" w:rsidR="003F6724" w:rsidRPr="00A655BB" w:rsidRDefault="003F6724" w:rsidP="003310B7">
      <w:pPr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3F6724" w:rsidRPr="00251981" w14:paraId="7E16F192" w14:textId="77777777" w:rsidTr="0048552E">
        <w:tc>
          <w:tcPr>
            <w:tcW w:w="2992" w:type="dxa"/>
          </w:tcPr>
          <w:p w14:paraId="0D6ADFEF" w14:textId="77777777" w:rsidR="003F6724" w:rsidRPr="00251981" w:rsidRDefault="003F6724" w:rsidP="0048552E">
            <w:pPr>
              <w:jc w:val="both"/>
              <w:rPr>
                <w:rFonts w:ascii="Arial" w:hAnsi="Arial" w:cs="Arial"/>
              </w:rPr>
            </w:pPr>
            <w:r w:rsidRPr="00251981">
              <w:rPr>
                <w:rFonts w:ascii="Arial" w:hAnsi="Arial" w:cs="Arial"/>
              </w:rPr>
              <w:t>Carteira Rural</w:t>
            </w:r>
          </w:p>
        </w:tc>
        <w:tc>
          <w:tcPr>
            <w:tcW w:w="2993" w:type="dxa"/>
          </w:tcPr>
          <w:p w14:paraId="581D9636" w14:textId="237149CF" w:rsidR="003F6724" w:rsidRPr="00251981" w:rsidRDefault="00251981" w:rsidP="0048552E">
            <w:pPr>
              <w:jc w:val="right"/>
              <w:rPr>
                <w:rFonts w:ascii="Arial" w:hAnsi="Arial" w:cs="Arial"/>
              </w:rPr>
            </w:pPr>
            <w:r w:rsidRPr="00251981">
              <w:rPr>
                <w:rFonts w:ascii="Arial" w:hAnsi="Arial" w:cs="Arial"/>
                <w:noProof/>
              </w:rPr>
              <w:t>14.335.506,49</w:t>
            </w:r>
          </w:p>
        </w:tc>
        <w:tc>
          <w:tcPr>
            <w:tcW w:w="2993" w:type="dxa"/>
          </w:tcPr>
          <w:p w14:paraId="02186CEA" w14:textId="06ED893A" w:rsidR="003F6724" w:rsidRPr="00251981" w:rsidRDefault="00251981" w:rsidP="0048552E">
            <w:pPr>
              <w:jc w:val="right"/>
              <w:rPr>
                <w:rFonts w:ascii="Arial" w:hAnsi="Arial" w:cs="Arial"/>
              </w:rPr>
            </w:pPr>
            <w:r w:rsidRPr="00251981">
              <w:rPr>
                <w:rFonts w:ascii="Arial" w:hAnsi="Arial" w:cs="Arial"/>
                <w:noProof/>
              </w:rPr>
              <w:t>26,98</w:t>
            </w:r>
            <w:r w:rsidR="003F6724" w:rsidRPr="00251981">
              <w:rPr>
                <w:rFonts w:ascii="Arial" w:hAnsi="Arial" w:cs="Arial"/>
                <w:noProof/>
              </w:rPr>
              <w:t>%</w:t>
            </w:r>
          </w:p>
        </w:tc>
      </w:tr>
      <w:tr w:rsidR="003F6724" w:rsidRPr="00A655BB" w14:paraId="573729EF" w14:textId="77777777" w:rsidTr="0048552E">
        <w:tc>
          <w:tcPr>
            <w:tcW w:w="2992" w:type="dxa"/>
          </w:tcPr>
          <w:p w14:paraId="513E6075" w14:textId="77777777" w:rsidR="003F6724" w:rsidRPr="00251981" w:rsidRDefault="003F6724" w:rsidP="0048552E">
            <w:pPr>
              <w:jc w:val="both"/>
              <w:rPr>
                <w:rFonts w:ascii="Arial" w:hAnsi="Arial" w:cs="Arial"/>
              </w:rPr>
            </w:pPr>
            <w:r w:rsidRPr="00251981">
              <w:rPr>
                <w:rFonts w:ascii="Arial" w:hAnsi="Arial" w:cs="Arial"/>
              </w:rPr>
              <w:t>Carteira Comercial</w:t>
            </w:r>
          </w:p>
        </w:tc>
        <w:tc>
          <w:tcPr>
            <w:tcW w:w="2993" w:type="dxa"/>
          </w:tcPr>
          <w:p w14:paraId="610740FE" w14:textId="585715F0" w:rsidR="003F6724" w:rsidRPr="00251981" w:rsidRDefault="00251981" w:rsidP="0048552E">
            <w:pPr>
              <w:jc w:val="right"/>
              <w:rPr>
                <w:rFonts w:ascii="Arial" w:hAnsi="Arial" w:cs="Arial"/>
              </w:rPr>
            </w:pPr>
            <w:r w:rsidRPr="00251981">
              <w:rPr>
                <w:rFonts w:ascii="Arial" w:hAnsi="Arial" w:cs="Arial"/>
                <w:noProof/>
              </w:rPr>
              <w:t>38.796.547,84</w:t>
            </w:r>
          </w:p>
        </w:tc>
        <w:tc>
          <w:tcPr>
            <w:tcW w:w="2993" w:type="dxa"/>
          </w:tcPr>
          <w:p w14:paraId="6E553DF7" w14:textId="6E4395C5" w:rsidR="003F6724" w:rsidRPr="00A655BB" w:rsidRDefault="00251981" w:rsidP="0048552E">
            <w:pPr>
              <w:jc w:val="right"/>
              <w:rPr>
                <w:rFonts w:ascii="Arial" w:hAnsi="Arial" w:cs="Arial"/>
              </w:rPr>
            </w:pPr>
            <w:r w:rsidRPr="00251981">
              <w:rPr>
                <w:rFonts w:ascii="Arial" w:hAnsi="Arial" w:cs="Arial"/>
                <w:noProof/>
              </w:rPr>
              <w:t>73,02</w:t>
            </w:r>
            <w:r w:rsidR="003F6724" w:rsidRPr="00251981">
              <w:rPr>
                <w:rFonts w:ascii="Arial" w:hAnsi="Arial" w:cs="Arial"/>
                <w:noProof/>
              </w:rPr>
              <w:t>%</w:t>
            </w:r>
          </w:p>
        </w:tc>
      </w:tr>
    </w:tbl>
    <w:p w14:paraId="7A50A3BE" w14:textId="77777777" w:rsidR="003F6724" w:rsidRPr="00A655BB" w:rsidRDefault="003F6724" w:rsidP="003310B7">
      <w:pPr>
        <w:jc w:val="both"/>
        <w:rPr>
          <w:rFonts w:ascii="Arial" w:hAnsi="Arial" w:cs="Arial"/>
        </w:rPr>
      </w:pPr>
    </w:p>
    <w:p w14:paraId="02A69BC6" w14:textId="567E031A" w:rsidR="003F6724" w:rsidRPr="00A655BB" w:rsidRDefault="003F6724" w:rsidP="003310B7">
      <w:pPr>
        <w:jc w:val="both"/>
        <w:rPr>
          <w:rFonts w:ascii="Arial" w:hAnsi="Arial" w:cs="Arial"/>
        </w:rPr>
      </w:pPr>
      <w:r w:rsidRPr="00F15CC8">
        <w:rPr>
          <w:rFonts w:ascii="Arial" w:hAnsi="Arial" w:cs="Arial"/>
        </w:rPr>
        <w:t xml:space="preserve">Os Vinte Maiores Devedores representavam na data-base de </w:t>
      </w:r>
      <w:r w:rsidR="007924E2" w:rsidRPr="00F15CC8">
        <w:rPr>
          <w:rFonts w:ascii="Arial" w:hAnsi="Arial" w:cs="Arial"/>
        </w:rPr>
        <w:t>31/12/2021</w:t>
      </w:r>
      <w:r w:rsidRPr="00F15CC8">
        <w:rPr>
          <w:rFonts w:ascii="Arial" w:hAnsi="Arial" w:cs="Arial"/>
        </w:rPr>
        <w:t xml:space="preserve"> o percentual de </w:t>
      </w:r>
      <w:r w:rsidR="00F15CC8" w:rsidRPr="00F15CC8">
        <w:rPr>
          <w:rFonts w:ascii="Arial" w:hAnsi="Arial" w:cs="Arial"/>
          <w:noProof/>
        </w:rPr>
        <w:t>11,16</w:t>
      </w:r>
      <w:r w:rsidRPr="00F15CC8">
        <w:rPr>
          <w:rFonts w:ascii="Arial" w:hAnsi="Arial" w:cs="Arial"/>
          <w:noProof/>
        </w:rPr>
        <w:t>%</w:t>
      </w:r>
      <w:r w:rsidRPr="00F15CC8">
        <w:rPr>
          <w:rFonts w:ascii="Arial" w:hAnsi="Arial" w:cs="Arial"/>
        </w:rPr>
        <w:t xml:space="preserve"> da carteira, no montante de R$ </w:t>
      </w:r>
      <w:r w:rsidR="00251981" w:rsidRPr="00F15CC8">
        <w:rPr>
          <w:rFonts w:ascii="Arial" w:hAnsi="Arial" w:cs="Arial"/>
          <w:noProof/>
        </w:rPr>
        <w:t>13.112.637,16</w:t>
      </w:r>
      <w:r w:rsidRPr="00F15CC8">
        <w:rPr>
          <w:rFonts w:ascii="Arial" w:hAnsi="Arial" w:cs="Arial"/>
        </w:rPr>
        <w:t>.</w:t>
      </w:r>
    </w:p>
    <w:p w14:paraId="4CB2B633" w14:textId="77777777" w:rsidR="003F6724" w:rsidRPr="00A655BB" w:rsidRDefault="003F6724">
      <w:pPr>
        <w:rPr>
          <w:rFonts w:ascii="Arial" w:hAnsi="Arial" w:cs="Arial"/>
        </w:rPr>
      </w:pPr>
    </w:p>
    <w:p w14:paraId="7F049001" w14:textId="77777777" w:rsidR="003F6724" w:rsidRPr="00A655BB" w:rsidRDefault="003F6724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Captação</w:t>
      </w:r>
    </w:p>
    <w:p w14:paraId="6D156029" w14:textId="77777777" w:rsidR="003F6724" w:rsidRPr="00A655BB" w:rsidRDefault="003F6724">
      <w:pPr>
        <w:rPr>
          <w:rFonts w:ascii="Arial" w:hAnsi="Arial" w:cs="Arial"/>
        </w:rPr>
      </w:pPr>
    </w:p>
    <w:p w14:paraId="6816F104" w14:textId="19427F61" w:rsidR="003F6724" w:rsidRPr="003164E8" w:rsidRDefault="003F6724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As captações, no total de</w:t>
      </w:r>
      <w:r>
        <w:rPr>
          <w:rFonts w:ascii="Arial" w:hAnsi="Arial" w:cs="Arial"/>
        </w:rPr>
        <w:t xml:space="preserve"> R$</w:t>
      </w:r>
      <w:r w:rsidRPr="00A655BB">
        <w:rPr>
          <w:rFonts w:ascii="Arial" w:hAnsi="Arial" w:cs="Arial"/>
        </w:rPr>
        <w:t xml:space="preserve"> </w:t>
      </w:r>
      <w:r w:rsidR="00F15CC8">
        <w:rPr>
          <w:rFonts w:ascii="Arial" w:hAnsi="Arial" w:cs="Arial"/>
          <w:noProof/>
        </w:rPr>
        <w:t>65.290.237,36</w:t>
      </w:r>
      <w:r>
        <w:rPr>
          <w:rFonts w:ascii="Arial" w:hAnsi="Arial" w:cs="Arial"/>
        </w:rPr>
        <w:t xml:space="preserve">, </w:t>
      </w:r>
      <w:r w:rsidRPr="00B56FFD">
        <w:rPr>
          <w:rFonts w:ascii="Arial" w:hAnsi="Arial" w:cs="Arial"/>
        </w:rPr>
        <w:t xml:space="preserve">apresentaram uma variação de </w:t>
      </w:r>
      <w:r w:rsidR="00F15CC8">
        <w:rPr>
          <w:rFonts w:ascii="Arial" w:hAnsi="Arial" w:cs="Arial"/>
          <w:noProof/>
        </w:rPr>
        <w:t>21,92</w:t>
      </w:r>
      <w:r w:rsidR="00251981">
        <w:rPr>
          <w:rFonts w:ascii="Arial" w:hAnsi="Arial" w:cs="Arial"/>
          <w:noProof/>
        </w:rPr>
        <w:t>%</w:t>
      </w:r>
      <w:r w:rsidRPr="00B56FFD">
        <w:rPr>
          <w:rFonts w:ascii="Arial" w:hAnsi="Arial" w:cs="Arial"/>
        </w:rPr>
        <w:t xml:space="preserve"> em relação</w:t>
      </w:r>
      <w:r w:rsidRPr="003164E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dezembro de 202</w:t>
      </w:r>
      <w:r w:rsidR="00B67749">
        <w:rPr>
          <w:rFonts w:ascii="Arial" w:hAnsi="Arial" w:cs="Arial"/>
        </w:rPr>
        <w:t>0</w:t>
      </w:r>
      <w:r w:rsidRPr="003164E8">
        <w:rPr>
          <w:rFonts w:ascii="Arial" w:hAnsi="Arial" w:cs="Arial"/>
        </w:rPr>
        <w:t>.</w:t>
      </w:r>
    </w:p>
    <w:p w14:paraId="5329047D" w14:textId="77777777" w:rsidR="003F6724" w:rsidRPr="00A655BB" w:rsidRDefault="003F6724" w:rsidP="003310B7">
      <w:pPr>
        <w:jc w:val="both"/>
        <w:rPr>
          <w:rFonts w:ascii="Arial" w:hAnsi="Arial" w:cs="Arial"/>
        </w:rPr>
      </w:pPr>
    </w:p>
    <w:p w14:paraId="679E07AC" w14:textId="77777777" w:rsidR="003F6724" w:rsidRPr="00A655BB" w:rsidRDefault="003F6724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As captações encontravam-se assim distribuídas:</w:t>
      </w:r>
    </w:p>
    <w:p w14:paraId="349950A4" w14:textId="77777777" w:rsidR="003F6724" w:rsidRPr="00A655BB" w:rsidRDefault="003F6724" w:rsidP="003310B7">
      <w:pPr>
        <w:jc w:val="both"/>
        <w:rPr>
          <w:rFonts w:ascii="Arial" w:hAnsi="Arial" w:cs="Arial"/>
        </w:rPr>
      </w:pPr>
    </w:p>
    <w:tbl>
      <w:tblPr>
        <w:tblW w:w="897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3F6724" w:rsidRPr="00F15CC8" w14:paraId="7294E816" w14:textId="77777777" w:rsidTr="00F15CC8">
        <w:tc>
          <w:tcPr>
            <w:tcW w:w="2992" w:type="dxa"/>
            <w:shd w:val="clear" w:color="auto" w:fill="auto"/>
          </w:tcPr>
          <w:p w14:paraId="78B7606B" w14:textId="77777777" w:rsidR="003F6724" w:rsidRPr="00F15CC8" w:rsidRDefault="003F6724" w:rsidP="0048552E">
            <w:pPr>
              <w:jc w:val="both"/>
              <w:rPr>
                <w:rFonts w:ascii="Arial" w:hAnsi="Arial" w:cs="Arial"/>
              </w:rPr>
            </w:pPr>
            <w:r w:rsidRPr="00F15CC8">
              <w:rPr>
                <w:rFonts w:ascii="Arial" w:hAnsi="Arial" w:cs="Arial"/>
              </w:rPr>
              <w:t>Depósitos à Vista</w:t>
            </w:r>
          </w:p>
        </w:tc>
        <w:tc>
          <w:tcPr>
            <w:tcW w:w="2993" w:type="dxa"/>
            <w:shd w:val="clear" w:color="auto" w:fill="auto"/>
          </w:tcPr>
          <w:p w14:paraId="2DFAD598" w14:textId="41CCB1CE" w:rsidR="003F6724" w:rsidRPr="00F15CC8" w:rsidRDefault="00F15CC8" w:rsidP="0048552E">
            <w:pPr>
              <w:jc w:val="right"/>
              <w:rPr>
                <w:rFonts w:ascii="Arial" w:hAnsi="Arial" w:cs="Arial"/>
              </w:rPr>
            </w:pPr>
            <w:r w:rsidRPr="00F15CC8">
              <w:rPr>
                <w:rFonts w:ascii="Arial" w:hAnsi="Arial" w:cs="Arial"/>
                <w:noProof/>
              </w:rPr>
              <w:t>17.828.843,82</w:t>
            </w:r>
          </w:p>
        </w:tc>
        <w:tc>
          <w:tcPr>
            <w:tcW w:w="2993" w:type="dxa"/>
            <w:shd w:val="clear" w:color="auto" w:fill="auto"/>
          </w:tcPr>
          <w:p w14:paraId="0AE0F147" w14:textId="4D5BAFA1" w:rsidR="003F6724" w:rsidRPr="00F15CC8" w:rsidRDefault="00F15CC8" w:rsidP="0048552E">
            <w:pPr>
              <w:jc w:val="right"/>
              <w:rPr>
                <w:rFonts w:ascii="Arial" w:hAnsi="Arial" w:cs="Arial"/>
              </w:rPr>
            </w:pPr>
            <w:r w:rsidRPr="00F15CC8">
              <w:rPr>
                <w:rFonts w:ascii="Arial" w:hAnsi="Arial" w:cs="Arial"/>
                <w:noProof/>
              </w:rPr>
              <w:t>27,31</w:t>
            </w:r>
            <w:r w:rsidR="003F6724" w:rsidRPr="00F15CC8">
              <w:rPr>
                <w:rFonts w:ascii="Arial" w:hAnsi="Arial" w:cs="Arial"/>
                <w:noProof/>
              </w:rPr>
              <w:t>%</w:t>
            </w:r>
          </w:p>
        </w:tc>
      </w:tr>
      <w:tr w:rsidR="00555427" w:rsidRPr="00F15CC8" w14:paraId="03A8817B" w14:textId="77777777" w:rsidTr="00F15CC8">
        <w:tc>
          <w:tcPr>
            <w:tcW w:w="2992" w:type="dxa"/>
            <w:shd w:val="clear" w:color="auto" w:fill="auto"/>
          </w:tcPr>
          <w:p w14:paraId="73AFABCB" w14:textId="45EA5BCF" w:rsidR="00555427" w:rsidRPr="00F15CC8" w:rsidRDefault="00555427" w:rsidP="0048552E">
            <w:pPr>
              <w:jc w:val="both"/>
              <w:rPr>
                <w:rFonts w:ascii="Arial" w:hAnsi="Arial" w:cs="Arial"/>
              </w:rPr>
            </w:pPr>
            <w:r w:rsidRPr="00F15CC8">
              <w:rPr>
                <w:rFonts w:ascii="Arial" w:hAnsi="Arial" w:cs="Arial"/>
              </w:rPr>
              <w:t>Depósito Sob Aviso</w:t>
            </w:r>
          </w:p>
        </w:tc>
        <w:tc>
          <w:tcPr>
            <w:tcW w:w="2993" w:type="dxa"/>
            <w:shd w:val="clear" w:color="auto" w:fill="auto"/>
          </w:tcPr>
          <w:p w14:paraId="355E8D0C" w14:textId="10AA0AD9" w:rsidR="00555427" w:rsidRPr="00F15CC8" w:rsidRDefault="00F15CC8" w:rsidP="0048552E">
            <w:pPr>
              <w:jc w:val="right"/>
              <w:rPr>
                <w:rFonts w:ascii="Arial" w:hAnsi="Arial" w:cs="Arial"/>
                <w:noProof/>
              </w:rPr>
            </w:pPr>
            <w:r w:rsidRPr="00F15CC8">
              <w:rPr>
                <w:rFonts w:ascii="Arial" w:hAnsi="Arial" w:cs="Arial"/>
                <w:noProof/>
              </w:rPr>
              <w:t>820.555,80</w:t>
            </w:r>
          </w:p>
        </w:tc>
        <w:tc>
          <w:tcPr>
            <w:tcW w:w="2993" w:type="dxa"/>
            <w:shd w:val="clear" w:color="auto" w:fill="auto"/>
          </w:tcPr>
          <w:p w14:paraId="0755DA68" w14:textId="65F592D3" w:rsidR="00555427" w:rsidRPr="00F15CC8" w:rsidRDefault="00F15CC8" w:rsidP="0048552E">
            <w:pPr>
              <w:jc w:val="right"/>
              <w:rPr>
                <w:rFonts w:ascii="Arial" w:hAnsi="Arial" w:cs="Arial"/>
                <w:noProof/>
              </w:rPr>
            </w:pPr>
            <w:r w:rsidRPr="00F15CC8">
              <w:rPr>
                <w:rFonts w:ascii="Arial" w:hAnsi="Arial" w:cs="Arial"/>
                <w:noProof/>
              </w:rPr>
              <w:t>1,26</w:t>
            </w:r>
            <w:r w:rsidR="00B3718B" w:rsidRPr="00F15CC8">
              <w:rPr>
                <w:rFonts w:ascii="Arial" w:hAnsi="Arial" w:cs="Arial"/>
                <w:noProof/>
              </w:rPr>
              <w:t>%</w:t>
            </w:r>
          </w:p>
        </w:tc>
      </w:tr>
      <w:tr w:rsidR="003F6724" w:rsidRPr="00176D02" w14:paraId="772BBFBC" w14:textId="77777777" w:rsidTr="00F15CC8">
        <w:tc>
          <w:tcPr>
            <w:tcW w:w="2992" w:type="dxa"/>
            <w:shd w:val="clear" w:color="auto" w:fill="auto"/>
          </w:tcPr>
          <w:p w14:paraId="55989624" w14:textId="77777777" w:rsidR="003F6724" w:rsidRPr="00F15CC8" w:rsidRDefault="003F6724" w:rsidP="0048552E">
            <w:pPr>
              <w:jc w:val="both"/>
              <w:rPr>
                <w:rFonts w:ascii="Arial" w:hAnsi="Arial" w:cs="Arial"/>
              </w:rPr>
            </w:pPr>
            <w:r w:rsidRPr="00F15CC8">
              <w:rPr>
                <w:rFonts w:ascii="Arial" w:hAnsi="Arial" w:cs="Arial"/>
              </w:rPr>
              <w:t>Depósitos a Prazo</w:t>
            </w:r>
          </w:p>
        </w:tc>
        <w:tc>
          <w:tcPr>
            <w:tcW w:w="2993" w:type="dxa"/>
            <w:shd w:val="clear" w:color="auto" w:fill="auto"/>
          </w:tcPr>
          <w:p w14:paraId="59C4D08C" w14:textId="4CCD647D" w:rsidR="003F6724" w:rsidRPr="00F15CC8" w:rsidRDefault="00F15CC8" w:rsidP="0048552E">
            <w:pPr>
              <w:jc w:val="right"/>
              <w:rPr>
                <w:rFonts w:ascii="Arial" w:hAnsi="Arial" w:cs="Arial"/>
              </w:rPr>
            </w:pPr>
            <w:r w:rsidRPr="00F15CC8">
              <w:rPr>
                <w:rFonts w:ascii="Arial" w:hAnsi="Arial" w:cs="Arial"/>
              </w:rPr>
              <w:t>46.640.837,74</w:t>
            </w:r>
          </w:p>
        </w:tc>
        <w:tc>
          <w:tcPr>
            <w:tcW w:w="2993" w:type="dxa"/>
            <w:shd w:val="clear" w:color="auto" w:fill="auto"/>
          </w:tcPr>
          <w:p w14:paraId="6E817328" w14:textId="3D017037" w:rsidR="003F6724" w:rsidRPr="00F15CC8" w:rsidRDefault="00F15CC8" w:rsidP="0048552E">
            <w:pPr>
              <w:jc w:val="right"/>
              <w:rPr>
                <w:rFonts w:ascii="Arial" w:hAnsi="Arial" w:cs="Arial"/>
              </w:rPr>
            </w:pPr>
            <w:r w:rsidRPr="00F15CC8">
              <w:rPr>
                <w:rFonts w:ascii="Arial" w:hAnsi="Arial" w:cs="Arial"/>
                <w:noProof/>
              </w:rPr>
              <w:t>71,43</w:t>
            </w:r>
            <w:r w:rsidR="003F6724" w:rsidRPr="00F15CC8">
              <w:rPr>
                <w:rFonts w:ascii="Arial" w:hAnsi="Arial" w:cs="Arial"/>
                <w:noProof/>
              </w:rPr>
              <w:t>%</w:t>
            </w:r>
          </w:p>
        </w:tc>
      </w:tr>
    </w:tbl>
    <w:p w14:paraId="4382B40C" w14:textId="77777777" w:rsidR="003F6724" w:rsidRPr="00A655BB" w:rsidRDefault="003F6724" w:rsidP="003310B7">
      <w:pPr>
        <w:jc w:val="both"/>
        <w:rPr>
          <w:rFonts w:ascii="Arial" w:hAnsi="Arial" w:cs="Arial"/>
        </w:rPr>
      </w:pPr>
    </w:p>
    <w:p w14:paraId="08421AE9" w14:textId="3468BC53" w:rsidR="003F6724" w:rsidRPr="00A655BB" w:rsidRDefault="003F6724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Os Vinte Maiores Depositantes representavam na data-base de </w:t>
      </w:r>
      <w:r w:rsidR="00D9336C">
        <w:rPr>
          <w:rFonts w:ascii="Arial" w:hAnsi="Arial" w:cs="Arial"/>
        </w:rPr>
        <w:t>31/12/2021</w:t>
      </w:r>
      <w:r w:rsidRPr="00A655BB">
        <w:rPr>
          <w:rFonts w:ascii="Arial" w:hAnsi="Arial" w:cs="Arial"/>
        </w:rPr>
        <w:t xml:space="preserve"> o percentual </w:t>
      </w:r>
      <w:r w:rsidRPr="00D16EC8">
        <w:rPr>
          <w:rFonts w:ascii="Arial" w:hAnsi="Arial" w:cs="Arial"/>
        </w:rPr>
        <w:t xml:space="preserve">de </w:t>
      </w:r>
      <w:r w:rsidR="00D16EC8" w:rsidRPr="00D16EC8">
        <w:rPr>
          <w:rFonts w:ascii="Arial" w:hAnsi="Arial" w:cs="Arial"/>
          <w:noProof/>
        </w:rPr>
        <w:t>32,22</w:t>
      </w:r>
      <w:r w:rsidRPr="00D16EC8">
        <w:rPr>
          <w:rFonts w:ascii="Arial" w:hAnsi="Arial" w:cs="Arial"/>
          <w:noProof/>
        </w:rPr>
        <w:t>%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da captação, no montante de </w:t>
      </w:r>
      <w:r>
        <w:rPr>
          <w:rFonts w:ascii="Arial" w:hAnsi="Arial" w:cs="Arial"/>
        </w:rPr>
        <w:t xml:space="preserve">R$ </w:t>
      </w:r>
      <w:r w:rsidR="00D16EC8">
        <w:rPr>
          <w:rFonts w:ascii="Arial" w:hAnsi="Arial" w:cs="Arial"/>
          <w:noProof/>
        </w:rPr>
        <w:t>21.038.295,97</w:t>
      </w:r>
      <w:r w:rsidRPr="00A655BB">
        <w:rPr>
          <w:rFonts w:ascii="Arial" w:hAnsi="Arial" w:cs="Arial"/>
        </w:rPr>
        <w:t>.</w:t>
      </w:r>
    </w:p>
    <w:p w14:paraId="6B0F1B5B" w14:textId="77777777" w:rsidR="003F6724" w:rsidRPr="00A655BB" w:rsidRDefault="003F6724">
      <w:pPr>
        <w:jc w:val="both"/>
        <w:rPr>
          <w:rFonts w:ascii="Arial" w:hAnsi="Arial" w:cs="Arial"/>
        </w:rPr>
      </w:pPr>
    </w:p>
    <w:p w14:paraId="3D997389" w14:textId="77777777" w:rsidR="003F6724" w:rsidRPr="0080228F" w:rsidRDefault="003F6724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80228F">
        <w:rPr>
          <w:sz w:val="20"/>
          <w:szCs w:val="20"/>
        </w:rPr>
        <w:t>Patrimônio de Referência</w:t>
      </w:r>
    </w:p>
    <w:p w14:paraId="42F223D0" w14:textId="77777777" w:rsidR="003F6724" w:rsidRPr="0080228F" w:rsidRDefault="003F6724">
      <w:pPr>
        <w:rPr>
          <w:rFonts w:ascii="Arial" w:hAnsi="Arial" w:cs="Arial"/>
        </w:rPr>
      </w:pPr>
    </w:p>
    <w:p w14:paraId="5E54C29E" w14:textId="49366077" w:rsidR="003F6724" w:rsidRPr="003164E8" w:rsidRDefault="003F6724" w:rsidP="003310B7">
      <w:pPr>
        <w:jc w:val="both"/>
        <w:rPr>
          <w:rFonts w:ascii="Arial" w:hAnsi="Arial" w:cs="Arial"/>
        </w:rPr>
      </w:pPr>
      <w:r w:rsidRPr="0080228F">
        <w:rPr>
          <w:rFonts w:ascii="Arial" w:hAnsi="Arial" w:cs="Arial"/>
        </w:rPr>
        <w:t xml:space="preserve">O Patrimônio de Referência do </w:t>
      </w:r>
      <w:r w:rsidR="00225F3D" w:rsidRPr="00225F3D">
        <w:rPr>
          <w:rFonts w:ascii="Arial" w:hAnsi="Arial" w:cs="Arial"/>
          <w:noProof/>
        </w:rPr>
        <w:t>SICOOB CREDIMAC</w:t>
      </w:r>
      <w:r w:rsidR="006D1CDD">
        <w:rPr>
          <w:rFonts w:ascii="Arial" w:hAnsi="Arial" w:cs="Arial"/>
          <w:noProof/>
        </w:rPr>
        <w:t xml:space="preserve"> </w:t>
      </w:r>
      <w:r w:rsidRPr="0080228F">
        <w:rPr>
          <w:rFonts w:ascii="Arial" w:hAnsi="Arial" w:cs="Arial"/>
        </w:rPr>
        <w:t xml:space="preserve">era de R$ </w:t>
      </w:r>
      <w:r w:rsidR="00D16EC8" w:rsidRPr="00D16EC8">
        <w:rPr>
          <w:rFonts w:ascii="Arial" w:hAnsi="Arial" w:cs="Arial"/>
          <w:noProof/>
        </w:rPr>
        <w:t>16.232.650,76</w:t>
      </w:r>
      <w:r w:rsidRPr="0080228F">
        <w:rPr>
          <w:rFonts w:ascii="Arial" w:hAnsi="Arial" w:cs="Arial"/>
        </w:rPr>
        <w:t xml:space="preserve">. O quadro de associados era composto por </w:t>
      </w:r>
      <w:r w:rsidR="001C1D95">
        <w:rPr>
          <w:rFonts w:ascii="Arial" w:hAnsi="Arial" w:cs="Arial"/>
          <w:noProof/>
        </w:rPr>
        <w:t>4.142</w:t>
      </w:r>
      <w:r w:rsidRPr="0080228F">
        <w:rPr>
          <w:rFonts w:ascii="Arial" w:hAnsi="Arial" w:cs="Arial"/>
        </w:rPr>
        <w:t xml:space="preserve"> cooperados, havendo </w:t>
      </w:r>
      <w:r w:rsidRPr="001B1A30">
        <w:rPr>
          <w:rFonts w:ascii="Arial" w:hAnsi="Arial" w:cs="Arial"/>
          <w:noProof/>
        </w:rPr>
        <w:t>um acréscimo</w:t>
      </w:r>
      <w:r w:rsidRPr="001B1A30">
        <w:rPr>
          <w:rFonts w:ascii="Arial" w:hAnsi="Arial" w:cs="Arial"/>
        </w:rPr>
        <w:t xml:space="preserve"> de </w:t>
      </w:r>
      <w:r w:rsidR="001B1A30" w:rsidRPr="001B1A30">
        <w:rPr>
          <w:rFonts w:ascii="Arial" w:hAnsi="Arial" w:cs="Arial"/>
          <w:noProof/>
        </w:rPr>
        <w:t>10,10</w:t>
      </w:r>
      <w:r w:rsidRPr="001B1A30">
        <w:rPr>
          <w:rFonts w:ascii="Arial" w:hAnsi="Arial" w:cs="Arial"/>
          <w:noProof/>
        </w:rPr>
        <w:t>%</w:t>
      </w:r>
      <w:r w:rsidRPr="001B1A30">
        <w:rPr>
          <w:rFonts w:ascii="Arial" w:hAnsi="Arial" w:cs="Arial"/>
        </w:rPr>
        <w:t xml:space="preserve"> em</w:t>
      </w:r>
      <w:r w:rsidRPr="0080228F">
        <w:rPr>
          <w:rFonts w:ascii="Arial" w:hAnsi="Arial" w:cs="Arial"/>
        </w:rPr>
        <w:t xml:space="preserve"> relação a dezembro de 2020.</w:t>
      </w:r>
    </w:p>
    <w:p w14:paraId="74BB225A" w14:textId="77777777" w:rsidR="003F6724" w:rsidRPr="003164E8" w:rsidRDefault="003F6724">
      <w:pPr>
        <w:rPr>
          <w:rFonts w:ascii="Arial" w:hAnsi="Arial" w:cs="Arial"/>
        </w:rPr>
      </w:pPr>
    </w:p>
    <w:p w14:paraId="4A21D9AB" w14:textId="77777777" w:rsidR="003F6724" w:rsidRPr="00A655BB" w:rsidRDefault="003F6724" w:rsidP="003B4684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de Crédito</w:t>
      </w:r>
    </w:p>
    <w:p w14:paraId="0FA86272" w14:textId="77777777" w:rsidR="003F6724" w:rsidRPr="00A655BB" w:rsidRDefault="003F6724" w:rsidP="002E25F5">
      <w:pPr>
        <w:jc w:val="both"/>
        <w:rPr>
          <w:rFonts w:ascii="Arial" w:hAnsi="Arial" w:cs="Arial"/>
        </w:rPr>
      </w:pPr>
    </w:p>
    <w:p w14:paraId="49D5636A" w14:textId="77777777" w:rsidR="003F6724" w:rsidRPr="00A655BB" w:rsidRDefault="003F6724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concessão de crédito está pautada em prévia análise do propenso tomador, havendo limites de alçadas pré-estabelecidos a serem observados e cumpridos, cercando ainda a Singular de todas as consultas cadastrais e com análise do Associado através do “RATING” (avaliação por pontos), buscando assim garantir ao máximo a liquidez das operações.</w:t>
      </w:r>
    </w:p>
    <w:p w14:paraId="1A53B599" w14:textId="77777777" w:rsidR="003F6724" w:rsidRPr="00A655BB" w:rsidRDefault="003F6724" w:rsidP="003310B7">
      <w:pPr>
        <w:jc w:val="both"/>
        <w:rPr>
          <w:rFonts w:ascii="Arial" w:hAnsi="Arial" w:cs="Arial"/>
        </w:rPr>
      </w:pPr>
    </w:p>
    <w:p w14:paraId="186A6B20" w14:textId="77777777" w:rsidR="003F6724" w:rsidRPr="00A655BB" w:rsidRDefault="003F6724" w:rsidP="003310B7">
      <w:pPr>
        <w:jc w:val="both"/>
        <w:rPr>
          <w:rFonts w:ascii="Arial" w:hAnsi="Arial" w:cs="Arial"/>
        </w:rPr>
      </w:pPr>
    </w:p>
    <w:p w14:paraId="459C7B79" w14:textId="7898BCC0" w:rsidR="003F6724" w:rsidRPr="00A655BB" w:rsidRDefault="003F6724" w:rsidP="003310B7">
      <w:pPr>
        <w:jc w:val="both"/>
        <w:rPr>
          <w:rFonts w:ascii="Arial" w:hAnsi="Arial" w:cs="Arial"/>
        </w:rPr>
      </w:pPr>
      <w:r w:rsidRPr="00221A2F">
        <w:rPr>
          <w:rFonts w:ascii="Arial" w:hAnsi="Arial" w:cs="Arial"/>
        </w:rPr>
        <w:lastRenderedPageBreak/>
        <w:t xml:space="preserve">O </w:t>
      </w:r>
      <w:r w:rsidR="00225F3D" w:rsidRPr="00225F3D">
        <w:rPr>
          <w:rFonts w:ascii="Arial" w:hAnsi="Arial" w:cs="Arial"/>
          <w:noProof/>
        </w:rPr>
        <w:t xml:space="preserve">SICOOB CREDIMAC </w:t>
      </w:r>
      <w:r w:rsidRPr="00221A2F">
        <w:rPr>
          <w:rFonts w:ascii="Arial" w:hAnsi="Arial" w:cs="Arial"/>
        </w:rPr>
        <w:t xml:space="preserve">adota a política de classificação de crédito de sua carteira de acordo com as diretrizes estabelecidas na Resolução CMN nº 2.682/99, havendo uma concentração </w:t>
      </w:r>
      <w:r w:rsidRPr="001B1A30">
        <w:rPr>
          <w:rFonts w:ascii="Arial" w:hAnsi="Arial" w:cs="Arial"/>
        </w:rPr>
        <w:t xml:space="preserve">de </w:t>
      </w:r>
      <w:r w:rsidR="001B1A30" w:rsidRPr="001B1A30">
        <w:rPr>
          <w:rFonts w:ascii="Arial" w:hAnsi="Arial" w:cs="Arial"/>
          <w:noProof/>
        </w:rPr>
        <w:t>94,02</w:t>
      </w:r>
      <w:r w:rsidRPr="001B1A30">
        <w:rPr>
          <w:rFonts w:ascii="Arial" w:hAnsi="Arial" w:cs="Arial"/>
          <w:noProof/>
        </w:rPr>
        <w:t>%</w:t>
      </w:r>
      <w:r w:rsidRPr="00221A2F">
        <w:rPr>
          <w:rFonts w:ascii="Arial" w:hAnsi="Arial" w:cs="Arial"/>
        </w:rPr>
        <w:t xml:space="preserve"> nos níveis de “AA” a “C”.</w:t>
      </w:r>
    </w:p>
    <w:p w14:paraId="1F39AA6C" w14:textId="77777777" w:rsidR="003F6724" w:rsidRPr="00A655BB" w:rsidRDefault="003F6724" w:rsidP="0097379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024BC66F" w14:textId="77777777" w:rsidR="003F6724" w:rsidRPr="00A655BB" w:rsidRDefault="003F6724" w:rsidP="00FC3C76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Governança Corporativa</w:t>
      </w:r>
    </w:p>
    <w:p w14:paraId="30083198" w14:textId="77777777" w:rsidR="003F6724" w:rsidRPr="00A655BB" w:rsidRDefault="003F6724" w:rsidP="00FC3C76">
      <w:pPr>
        <w:jc w:val="both"/>
        <w:rPr>
          <w:rFonts w:ascii="Arial" w:hAnsi="Arial" w:cs="Arial"/>
        </w:rPr>
      </w:pPr>
    </w:p>
    <w:p w14:paraId="45636093" w14:textId="77777777" w:rsidR="003F6724" w:rsidRPr="00A655BB" w:rsidRDefault="003F6724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Governança corporativa é o conjunto de mecanismos e controles, internos e externos, que permitem aos associados definir e assegurar a execução dos objetivos da cooperativa, garantindo a sua continuidade, os princípios cooperativistas ou, simplesmente, a adoção de boas práticas de gestão.</w:t>
      </w:r>
    </w:p>
    <w:p w14:paraId="107CB568" w14:textId="77777777" w:rsidR="003F6724" w:rsidRPr="00A655BB" w:rsidRDefault="003F6724" w:rsidP="008871A8">
      <w:pPr>
        <w:jc w:val="both"/>
        <w:rPr>
          <w:rFonts w:ascii="Arial" w:hAnsi="Arial" w:cs="Arial"/>
        </w:rPr>
      </w:pPr>
    </w:p>
    <w:p w14:paraId="1B480DA2" w14:textId="77777777" w:rsidR="003F6724" w:rsidRPr="00A655BB" w:rsidRDefault="003F6724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Nesse sentido, a administraçã</w:t>
      </w:r>
      <w:r>
        <w:rPr>
          <w:rFonts w:ascii="Arial" w:hAnsi="Arial" w:cs="Arial"/>
        </w:rPr>
        <w:t>o da Cooperativa tem na assemble</w:t>
      </w:r>
      <w:r w:rsidRPr="00A655BB">
        <w:rPr>
          <w:rFonts w:ascii="Arial" w:hAnsi="Arial" w:cs="Arial"/>
        </w:rPr>
        <w:t xml:space="preserve">ia geral, que é a reunião de todos os associados, o poder maior de decisão. </w:t>
      </w:r>
    </w:p>
    <w:p w14:paraId="363FB1D4" w14:textId="77777777" w:rsidR="003F6724" w:rsidRPr="00A655BB" w:rsidRDefault="003F6724" w:rsidP="008871A8">
      <w:pPr>
        <w:jc w:val="both"/>
        <w:rPr>
          <w:rFonts w:ascii="Arial" w:hAnsi="Arial" w:cs="Arial"/>
        </w:rPr>
      </w:pPr>
    </w:p>
    <w:p w14:paraId="4495F1C6" w14:textId="77777777" w:rsidR="003F6724" w:rsidRPr="00A655BB" w:rsidRDefault="003F6724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gestão da Cooperativa está alicerçada em papéis definidos, com clara separação de funções. Cabem ao Conselho de Administração as decisões estratégicas e à Diretoria Executiva, a gestão dos negócios da Cooperativa no seu dia a dia.</w:t>
      </w:r>
    </w:p>
    <w:p w14:paraId="47691803" w14:textId="77777777" w:rsidR="003F6724" w:rsidRPr="00A655BB" w:rsidRDefault="003F6724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 </w:t>
      </w:r>
    </w:p>
    <w:p w14:paraId="25CB1830" w14:textId="77777777" w:rsidR="003F6724" w:rsidRDefault="003F6724" w:rsidP="008871A8">
      <w:pPr>
        <w:jc w:val="both"/>
        <w:rPr>
          <w:rFonts w:ascii="Arial" w:hAnsi="Arial" w:cs="Arial"/>
        </w:rPr>
      </w:pPr>
      <w:r w:rsidRPr="00BE1558">
        <w:rPr>
          <w:rFonts w:ascii="Arial" w:hAnsi="Arial" w:cs="Arial"/>
        </w:rPr>
        <w:t xml:space="preserve">A Cooperativa possui ainda um Agente de Controles Internos, supervisionado diretamente pelo Diretor responsável pelo gerenciamento contínuo de riscos, conforme previsto na </w:t>
      </w:r>
      <w:r>
        <w:rPr>
          <w:rFonts w:ascii="Arial" w:hAnsi="Arial" w:cs="Arial"/>
        </w:rPr>
        <w:t>R</w:t>
      </w:r>
      <w:r w:rsidRPr="00BE1558">
        <w:rPr>
          <w:rFonts w:ascii="Arial" w:hAnsi="Arial" w:cs="Arial"/>
        </w:rPr>
        <w:t xml:space="preserve">esolução </w:t>
      </w:r>
      <w:r>
        <w:rPr>
          <w:rFonts w:ascii="Arial" w:hAnsi="Arial" w:cs="Arial"/>
        </w:rPr>
        <w:t xml:space="preserve">CMN </w:t>
      </w:r>
      <w:r w:rsidRPr="00BE155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BE1558">
        <w:rPr>
          <w:rFonts w:ascii="Arial" w:hAnsi="Arial" w:cs="Arial"/>
        </w:rPr>
        <w:t>606/17. Essa diretoria visa acompanhar a aderência aos normativos vigentes, seja interno e/ou sistêmico (</w:t>
      </w:r>
      <w:r w:rsidRPr="00630FAB">
        <w:rPr>
          <w:rFonts w:ascii="Arial" w:hAnsi="Arial" w:cs="Arial"/>
          <w:noProof/>
        </w:rPr>
        <w:t>SICOOB CENTRAL CREDIMINAS</w:t>
      </w:r>
      <w:r>
        <w:rPr>
          <w:rFonts w:ascii="Arial" w:hAnsi="Arial" w:cs="Arial"/>
        </w:rPr>
        <w:t xml:space="preserve"> </w:t>
      </w:r>
      <w:r w:rsidRPr="00BE155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SICOOB CONFEDERAÇÃO</w:t>
      </w:r>
      <w:r w:rsidRPr="00BE1558">
        <w:rPr>
          <w:rFonts w:ascii="Arial" w:hAnsi="Arial" w:cs="Arial"/>
        </w:rPr>
        <w:t>), bem como aqueles oriundos da legislação vigente.</w:t>
      </w:r>
      <w:r>
        <w:rPr>
          <w:rFonts w:ascii="Arial" w:hAnsi="Arial" w:cs="Arial"/>
        </w:rPr>
        <w:t xml:space="preserve"> </w:t>
      </w:r>
    </w:p>
    <w:p w14:paraId="7B6BAEE5" w14:textId="77777777" w:rsidR="003F6724" w:rsidRPr="00A655BB" w:rsidRDefault="003F6724" w:rsidP="008871A8">
      <w:pPr>
        <w:jc w:val="both"/>
        <w:rPr>
          <w:rFonts w:ascii="Arial" w:hAnsi="Arial" w:cs="Arial"/>
        </w:rPr>
      </w:pPr>
    </w:p>
    <w:p w14:paraId="6D216FA4" w14:textId="77777777" w:rsidR="003F6724" w:rsidRPr="00A655BB" w:rsidRDefault="003F6724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36C4C883" w14:textId="77777777" w:rsidR="003F6724" w:rsidRPr="00A655BB" w:rsidRDefault="003F6724" w:rsidP="008871A8">
      <w:pPr>
        <w:jc w:val="both"/>
        <w:rPr>
          <w:rFonts w:ascii="Arial" w:hAnsi="Arial" w:cs="Arial"/>
        </w:rPr>
      </w:pPr>
    </w:p>
    <w:p w14:paraId="364D0CA7" w14:textId="77777777" w:rsidR="003F6724" w:rsidRPr="00A655BB" w:rsidRDefault="003F6724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Tendo em vista o risco que envolve a intermediação financeira, a Cooperativa adota ferramentas de gestão. Para exemplificar, na concessão de crédito, a Cooperativa adota o Manual de Crédito, aprovado, como muitos outros manuais</w:t>
      </w:r>
      <w:r w:rsidRPr="003164E8">
        <w:rPr>
          <w:rFonts w:ascii="Arial" w:hAnsi="Arial" w:cs="Arial"/>
        </w:rPr>
        <w:t xml:space="preserve">, pelo </w:t>
      </w:r>
      <w:r>
        <w:rPr>
          <w:rFonts w:ascii="Arial" w:hAnsi="Arial" w:cs="Arial"/>
        </w:rPr>
        <w:t>SICOOB CONFEDERAÇÃO</w:t>
      </w:r>
      <w:r w:rsidRPr="003164E8">
        <w:rPr>
          <w:rFonts w:ascii="Arial" w:hAnsi="Arial" w:cs="Arial"/>
        </w:rPr>
        <w:t xml:space="preserve"> e homologado</w:t>
      </w:r>
      <w:r w:rsidRPr="00A655BB">
        <w:rPr>
          <w:rFonts w:ascii="Arial" w:hAnsi="Arial" w:cs="Arial"/>
        </w:rPr>
        <w:t xml:space="preserve"> pela Central. </w:t>
      </w:r>
    </w:p>
    <w:p w14:paraId="44EB2BF3" w14:textId="77777777" w:rsidR="003F6724" w:rsidRPr="00A655BB" w:rsidRDefault="003F6724" w:rsidP="008871A8">
      <w:pPr>
        <w:jc w:val="both"/>
        <w:rPr>
          <w:rFonts w:ascii="Arial" w:hAnsi="Arial" w:cs="Arial"/>
        </w:rPr>
      </w:pPr>
    </w:p>
    <w:p w14:paraId="0D01D57C" w14:textId="77777777" w:rsidR="003F6724" w:rsidRPr="00A655BB" w:rsidRDefault="003F6724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Além do Estatuto Social, são adotados regimentos e regulamentos, entre os quais destacamos o Regimento Interno, o Regimento do Conselho de Administração, o Regimento do Conselho Fiscal, o Regulamento Eleitoral. </w:t>
      </w:r>
    </w:p>
    <w:p w14:paraId="1A679F1C" w14:textId="77777777" w:rsidR="003F6724" w:rsidRPr="00A655BB" w:rsidRDefault="003F6724" w:rsidP="008871A8">
      <w:pPr>
        <w:jc w:val="both"/>
        <w:rPr>
          <w:rFonts w:ascii="Arial" w:hAnsi="Arial" w:cs="Arial"/>
        </w:rPr>
      </w:pPr>
    </w:p>
    <w:p w14:paraId="144FBD55" w14:textId="77777777" w:rsidR="003F6724" w:rsidRPr="00A655BB" w:rsidRDefault="003F6724" w:rsidP="008871A8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Cooperativa adota procedimentos para cumprir todas as normas contábeis e fiscais, além de ter uma política de remuneração de seus empregados e estagiários dentro de um plano de cargos e salários que contempla a remuneração adequada, a separação de funções e o gerenciamento do desempenho de todo o seu quadro funcional.</w:t>
      </w:r>
    </w:p>
    <w:p w14:paraId="521F1648" w14:textId="77777777" w:rsidR="003F6724" w:rsidRPr="00A655BB" w:rsidRDefault="003F6724" w:rsidP="008871A8">
      <w:pPr>
        <w:jc w:val="both"/>
        <w:rPr>
          <w:rFonts w:ascii="Arial" w:hAnsi="Arial" w:cs="Arial"/>
        </w:rPr>
      </w:pPr>
    </w:p>
    <w:p w14:paraId="0DA6AF09" w14:textId="77777777" w:rsidR="003F6724" w:rsidRPr="00A655BB" w:rsidRDefault="003F6724" w:rsidP="00FC3C76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Todos esses mecanismos de controle, além de necessários, são fundamentais para levar aos associados e à sociedade em geral a transparência da gestão e de todas as atividades desenvolvidas pela instituição.</w:t>
      </w:r>
    </w:p>
    <w:p w14:paraId="4E95AECE" w14:textId="77777777" w:rsidR="003F6724" w:rsidRPr="00A655BB" w:rsidRDefault="003F6724" w:rsidP="00973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5FFA10" w14:textId="77777777" w:rsidR="003F6724" w:rsidRPr="00A655BB" w:rsidRDefault="003F6724" w:rsidP="000120D8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Conselho Fiscal</w:t>
      </w:r>
    </w:p>
    <w:p w14:paraId="000920DE" w14:textId="77777777" w:rsidR="003F6724" w:rsidRPr="00A655BB" w:rsidRDefault="003F6724" w:rsidP="000120D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93E8B15" w14:textId="77777777" w:rsidR="003F6724" w:rsidRDefault="003F6724" w:rsidP="00084F1C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Eleito </w:t>
      </w:r>
      <w:r>
        <w:rPr>
          <w:rFonts w:ascii="Arial" w:hAnsi="Arial" w:cs="Arial"/>
        </w:rPr>
        <w:t>em</w:t>
      </w:r>
      <w:r w:rsidRPr="00A655BB">
        <w:rPr>
          <w:rFonts w:ascii="Arial" w:hAnsi="Arial" w:cs="Arial"/>
        </w:rPr>
        <w:t xml:space="preserve"> AGO, o Conselho Fiscal tem função complementar à do Conselho de Administração. Sua responsabilidade é verificar de forma sistemática os atos da administração da Cooperativa, bem como validar seus balancetes mensais e seu balanço patrimonial anual. </w:t>
      </w:r>
    </w:p>
    <w:p w14:paraId="6F6AABCC" w14:textId="77777777" w:rsidR="003F6724" w:rsidRPr="00A655BB" w:rsidRDefault="003F6724" w:rsidP="00084F1C">
      <w:pPr>
        <w:jc w:val="both"/>
        <w:rPr>
          <w:rFonts w:ascii="Arial" w:hAnsi="Arial" w:cs="Arial"/>
        </w:rPr>
      </w:pPr>
    </w:p>
    <w:p w14:paraId="6A4DB2CF" w14:textId="77777777" w:rsidR="003F6724" w:rsidRPr="00A655BB" w:rsidRDefault="003F6724" w:rsidP="00BE617B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Código de Ética</w:t>
      </w:r>
    </w:p>
    <w:p w14:paraId="41D19939" w14:textId="77777777" w:rsidR="003F6724" w:rsidRPr="00A655BB" w:rsidRDefault="003F6724" w:rsidP="00BE617B">
      <w:pPr>
        <w:jc w:val="both"/>
        <w:rPr>
          <w:rFonts w:ascii="Arial" w:hAnsi="Arial" w:cs="Arial"/>
        </w:rPr>
      </w:pPr>
    </w:p>
    <w:p w14:paraId="20EFFA5F" w14:textId="0B6488FE" w:rsidR="003F6724" w:rsidRPr="00A655BB" w:rsidRDefault="003F6724" w:rsidP="003310B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Todos os integrantes da equipe do </w:t>
      </w:r>
      <w:r w:rsidR="00225F3D" w:rsidRPr="00225F3D">
        <w:rPr>
          <w:rFonts w:ascii="Arial" w:hAnsi="Arial" w:cs="Arial"/>
          <w:noProof/>
        </w:rPr>
        <w:t>SICOOB CREDIMAC</w:t>
      </w:r>
      <w:r w:rsidR="00AD689D">
        <w:rPr>
          <w:rFonts w:ascii="Arial" w:hAnsi="Arial" w:cs="Arial"/>
          <w:noProof/>
        </w:rPr>
        <w:t xml:space="preserve"> </w:t>
      </w:r>
      <w:r w:rsidRPr="00A655BB">
        <w:rPr>
          <w:rFonts w:ascii="Arial" w:hAnsi="Arial" w:cs="Arial"/>
        </w:rPr>
        <w:t xml:space="preserve">aderiram, por meio de compromisso firmado, </w:t>
      </w:r>
      <w:r w:rsidRPr="00590A40">
        <w:rPr>
          <w:rFonts w:ascii="Arial" w:hAnsi="Arial" w:cs="Arial"/>
        </w:rPr>
        <w:t>ao Código de Ética e de Conduta Profissional proposto</w:t>
      </w:r>
      <w:r w:rsidRPr="00A655BB">
        <w:rPr>
          <w:rFonts w:ascii="Arial" w:hAnsi="Arial" w:cs="Arial"/>
        </w:rPr>
        <w:t xml:space="preserve"> pela Confederação Nacional das Cooperativas do SICOOB – </w:t>
      </w:r>
      <w:r>
        <w:rPr>
          <w:rFonts w:ascii="Arial" w:hAnsi="Arial" w:cs="Arial"/>
        </w:rPr>
        <w:t xml:space="preserve">SICOOB CONFEDERAÇÃO e </w:t>
      </w:r>
      <w:r w:rsidRPr="00A655BB">
        <w:rPr>
          <w:rFonts w:ascii="Arial" w:hAnsi="Arial" w:cs="Arial"/>
        </w:rPr>
        <w:t>todos os novos funcionários, ao ingressar na Cooperativa, assumem o mesmo compromisso.</w:t>
      </w:r>
    </w:p>
    <w:p w14:paraId="3164E01C" w14:textId="77777777" w:rsidR="003F6724" w:rsidRPr="00A655BB" w:rsidRDefault="003F6724" w:rsidP="00084F1C">
      <w:pPr>
        <w:jc w:val="both"/>
        <w:rPr>
          <w:rFonts w:ascii="Arial" w:hAnsi="Arial" w:cs="Arial"/>
        </w:rPr>
      </w:pPr>
    </w:p>
    <w:p w14:paraId="05F66499" w14:textId="77777777" w:rsidR="003F6724" w:rsidRPr="00A655BB" w:rsidRDefault="003F6724" w:rsidP="00EF3CD7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lastRenderedPageBreak/>
        <w:t>Sistema de Ouvidoria</w:t>
      </w:r>
    </w:p>
    <w:p w14:paraId="587DED90" w14:textId="77777777" w:rsidR="003F6724" w:rsidRPr="00A655BB" w:rsidRDefault="003F6724" w:rsidP="009737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20F9F0D" w14:textId="77777777" w:rsidR="003F6724" w:rsidRPr="00014FE5" w:rsidRDefault="003F6724" w:rsidP="00014FE5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Ouvidoria, constituída em 2007 representou um importante avanço a serviço dos cooperados, dispõe de diretor responsável pela área e de um Ouvidor. Atende às manifestações recebidas por meio do Sistema de Ouvidoria do SICOOB, composto por sistema tecnológico específico, atendimento via DDG 0800 e sítio na internet integrado com o sistema informatizado de ouvidoria tendo a atribuição de assegurar o cumprimento das normas relacionadas aos direitos dos usuários de nossos produtos, além de atuar como canal de comunicação com os nossos associados e integrantes das comunidades onde estamos presentes.</w:t>
      </w:r>
    </w:p>
    <w:p w14:paraId="5C55AB95" w14:textId="77777777" w:rsidR="003F6724" w:rsidRPr="00A655BB" w:rsidRDefault="003F6724" w:rsidP="00973797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14:paraId="4F751F23" w14:textId="42B648F7" w:rsidR="003F6724" w:rsidRDefault="003F6724" w:rsidP="00225F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5F3D">
        <w:rPr>
          <w:rFonts w:ascii="Arial" w:hAnsi="Arial" w:cs="Arial"/>
        </w:rPr>
        <w:t xml:space="preserve">No </w:t>
      </w:r>
      <w:r w:rsidR="0016360A" w:rsidRPr="00225F3D">
        <w:rPr>
          <w:rFonts w:ascii="Arial" w:hAnsi="Arial" w:cs="Arial"/>
        </w:rPr>
        <w:t>exercício</w:t>
      </w:r>
      <w:r w:rsidRPr="00225F3D">
        <w:rPr>
          <w:rFonts w:ascii="Arial" w:hAnsi="Arial" w:cs="Arial"/>
        </w:rPr>
        <w:t xml:space="preserve"> de 2021, a Ouvidoria do </w:t>
      </w:r>
      <w:r w:rsidR="00225F3D" w:rsidRPr="00225F3D">
        <w:rPr>
          <w:rFonts w:ascii="Arial" w:hAnsi="Arial" w:cs="Arial"/>
          <w:noProof/>
        </w:rPr>
        <w:t>SICOOB CREDIMAC não registrou nenhuma</w:t>
      </w:r>
      <w:r w:rsidRPr="00225F3D">
        <w:rPr>
          <w:rFonts w:ascii="Arial" w:hAnsi="Arial" w:cs="Arial"/>
          <w:noProof/>
        </w:rPr>
        <w:t xml:space="preserve"> manifestaç</w:t>
      </w:r>
      <w:r w:rsidR="00225F3D" w:rsidRPr="00225F3D">
        <w:rPr>
          <w:rFonts w:ascii="Arial" w:hAnsi="Arial" w:cs="Arial"/>
          <w:noProof/>
        </w:rPr>
        <w:t>ão</w:t>
      </w:r>
      <w:r w:rsidRPr="00225F3D">
        <w:rPr>
          <w:rFonts w:ascii="Arial" w:hAnsi="Arial" w:cs="Arial"/>
          <w:noProof/>
        </w:rPr>
        <w:t xml:space="preserve"> de cooperados sobre a qualidade dos produtos e serviços oferecidos pela Cooperativa.</w:t>
      </w:r>
      <w:r w:rsidRPr="00225F3D">
        <w:rPr>
          <w:rFonts w:ascii="Arial" w:hAnsi="Arial" w:cs="Arial"/>
        </w:rPr>
        <w:t xml:space="preserve"> </w:t>
      </w:r>
    </w:p>
    <w:p w14:paraId="5B386777" w14:textId="77777777" w:rsidR="003F6724" w:rsidRDefault="003F6724" w:rsidP="00EB41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E633B3" w14:textId="77777777" w:rsidR="003F6724" w:rsidRDefault="003F6724" w:rsidP="009E013A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Fundo Garantidor do Cooperativismo de Crédito - FGCoop</w:t>
      </w:r>
    </w:p>
    <w:p w14:paraId="235A09FC" w14:textId="77777777" w:rsidR="003F6724" w:rsidRDefault="003F6724" w:rsidP="009E013A">
      <w:pPr>
        <w:autoSpaceDE w:val="0"/>
        <w:autoSpaceDN w:val="0"/>
        <w:adjustRightInd w:val="0"/>
        <w:rPr>
          <w:sz w:val="14"/>
          <w:szCs w:val="14"/>
        </w:rPr>
      </w:pPr>
    </w:p>
    <w:p w14:paraId="503DC59D" w14:textId="20FA3FC7" w:rsidR="003F6724" w:rsidRDefault="003F6724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seu estatuto, o Fundo Garantidor do Cooperativismo de Crédito- FGCoop tem por objeto prestar garantia de créditos nos casos de decretação de intervenção ou de liquidação extrajudicial de instituição associada, até o limite de R$ 250 mil por associado, bem como contratar operações de assistência, de suporte financeiro e de liquidez com essas instituições. O Conselho Monetário Nacional (CMN) aprovou resolução que estabelece a forma de contribuição das instituições associadas ao Fundo Garantidor do Cooperativismo de Crédito (FGCoop), ratifica também seu estatuto e regulamento. Conforme previsto na Resolução nº 4.150</w:t>
      </w:r>
      <w:r w:rsidR="00981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30</w:t>
      </w:r>
      <w:r w:rsidR="00981F8D">
        <w:rPr>
          <w:rFonts w:ascii="Arial" w:hAnsi="Arial" w:cs="Arial"/>
        </w:rPr>
        <w:t>/</w:t>
      </w:r>
      <w:r>
        <w:rPr>
          <w:rFonts w:ascii="Arial" w:hAnsi="Arial" w:cs="Arial"/>
        </w:rPr>
        <w:t>10</w:t>
      </w:r>
      <w:r w:rsidR="00981F8D">
        <w:rPr>
          <w:rFonts w:ascii="Arial" w:hAnsi="Arial" w:cs="Arial"/>
        </w:rPr>
        <w:t>/</w:t>
      </w:r>
      <w:r>
        <w:rPr>
          <w:rFonts w:ascii="Arial" w:hAnsi="Arial" w:cs="Arial"/>
        </w:rPr>
        <w:t>2012, esse fundo possui como instituições associadas todas as cooperativas singulares de crédito do Brasil e os bancos cooperativos integrantes do Sistema Nacional de Crédito Cooperativo (SNCC).</w:t>
      </w:r>
    </w:p>
    <w:p w14:paraId="6CD2F34C" w14:textId="77777777" w:rsidR="003F6724" w:rsidRDefault="003F6724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CC8D96" w14:textId="32EE6C1C" w:rsidR="003F6724" w:rsidRPr="00A73267" w:rsidRDefault="003F6724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73267">
        <w:rPr>
          <w:rFonts w:ascii="Arial" w:hAnsi="Arial" w:cs="Arial"/>
        </w:rPr>
        <w:t xml:space="preserve">Conforme previsto no artigo </w:t>
      </w:r>
      <w:r w:rsidR="00981F8D" w:rsidRPr="00A73267">
        <w:rPr>
          <w:rFonts w:ascii="Arial" w:hAnsi="Arial" w:cs="Arial"/>
        </w:rPr>
        <w:t>3</w:t>
      </w:r>
      <w:r w:rsidRPr="00A73267">
        <w:rPr>
          <w:rFonts w:ascii="Arial" w:hAnsi="Arial" w:cs="Arial"/>
        </w:rPr>
        <w:t xml:space="preserve">º da </w:t>
      </w:r>
      <w:r w:rsidR="00981F8D" w:rsidRPr="00A73267">
        <w:rPr>
          <w:rFonts w:ascii="Arial" w:hAnsi="Arial" w:cs="Arial"/>
        </w:rPr>
        <w:t>Resolução CMN n° 4.933 de 29/7/2021</w:t>
      </w:r>
      <w:r w:rsidRPr="00A73267">
        <w:rPr>
          <w:rFonts w:ascii="Arial" w:hAnsi="Arial" w:cs="Arial"/>
        </w:rPr>
        <w:t>, a contribuição mensal ordinária das instituições associadas ao Fundo é de 0,0125%</w:t>
      </w:r>
      <w:r w:rsidR="00F709A3" w:rsidRPr="00A73267">
        <w:rPr>
          <w:rFonts w:ascii="Arial" w:hAnsi="Arial" w:cs="Arial"/>
        </w:rPr>
        <w:t xml:space="preserve"> </w:t>
      </w:r>
      <w:r w:rsidR="00A23BF0" w:rsidRPr="00A73267">
        <w:rPr>
          <w:rFonts w:ascii="Arial" w:hAnsi="Arial" w:cs="Arial"/>
        </w:rPr>
        <w:t>do montante dos saldos das contas referentes aos instrumentos financeiros</w:t>
      </w:r>
      <w:r w:rsidR="00F709A3" w:rsidRPr="00A73267">
        <w:rPr>
          <w:rFonts w:ascii="Arial" w:hAnsi="Arial" w:cs="Arial"/>
        </w:rPr>
        <w:t>, ainda que os créditos correspondentes não sejam cobertos pela garantia ordinária</w:t>
      </w:r>
      <w:r w:rsidR="00E43483" w:rsidRPr="00A73267">
        <w:rPr>
          <w:rFonts w:ascii="Arial" w:hAnsi="Arial" w:cs="Arial"/>
        </w:rPr>
        <w:t>.</w:t>
      </w:r>
      <w:r w:rsidRPr="00A73267">
        <w:rPr>
          <w:rFonts w:ascii="Arial" w:hAnsi="Arial" w:cs="Arial"/>
        </w:rPr>
        <w:t xml:space="preserve"> </w:t>
      </w:r>
      <w:r w:rsidR="00E43483" w:rsidRPr="00A73267">
        <w:rPr>
          <w:rFonts w:ascii="Arial" w:hAnsi="Arial" w:cs="Arial"/>
        </w:rPr>
        <w:t>A</w:t>
      </w:r>
      <w:r w:rsidRPr="00A73267">
        <w:rPr>
          <w:rFonts w:ascii="Arial" w:hAnsi="Arial" w:cs="Arial"/>
        </w:rPr>
        <w:t>brangem as mesmas modalidades protegidas pelo Fundo Garantidor de Créditos dos bancos, o FGC, ou seja, os depósitos à vista e a prazo, as letras de crédito do agronegócio, entre outros.</w:t>
      </w:r>
    </w:p>
    <w:p w14:paraId="0960B1C0" w14:textId="77777777" w:rsidR="003F6724" w:rsidRPr="00A73267" w:rsidRDefault="003F6724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8FC8C6" w14:textId="547B28FD" w:rsidR="003F6724" w:rsidRPr="00A73267" w:rsidRDefault="003F6724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73267">
        <w:rPr>
          <w:rFonts w:ascii="Arial" w:hAnsi="Arial" w:cs="Arial"/>
        </w:rPr>
        <w:t xml:space="preserve">As contribuições ao FGCoop pelas instituições a ele associadas tiveram início a partir do mês de março de 2014 e recolhidas no prazo estabelecido no art. </w:t>
      </w:r>
      <w:r w:rsidR="00E34246" w:rsidRPr="00A73267">
        <w:rPr>
          <w:rFonts w:ascii="Arial" w:hAnsi="Arial" w:cs="Arial"/>
        </w:rPr>
        <w:t>4</w:t>
      </w:r>
      <w:r w:rsidRPr="00A73267">
        <w:rPr>
          <w:rFonts w:ascii="Arial" w:hAnsi="Arial" w:cs="Arial"/>
        </w:rPr>
        <w:t xml:space="preserve">º </w:t>
      </w:r>
      <w:r w:rsidR="004F6BB0" w:rsidRPr="00A73267">
        <w:rPr>
          <w:rFonts w:ascii="Arial" w:hAnsi="Arial" w:cs="Arial"/>
        </w:rPr>
        <w:t>da Resolução BCB n° 127 de 11/8/2021.</w:t>
      </w:r>
    </w:p>
    <w:p w14:paraId="70162C58" w14:textId="77777777" w:rsidR="003F6724" w:rsidRPr="00A73267" w:rsidRDefault="003F6724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B012B3" w14:textId="77777777" w:rsidR="003F6724" w:rsidRDefault="003F6724" w:rsidP="008871A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73267">
        <w:rPr>
          <w:rFonts w:ascii="Arial" w:hAnsi="Arial" w:cs="Arial"/>
        </w:rPr>
        <w:t xml:space="preserve">Ainda </w:t>
      </w:r>
      <w:r>
        <w:rPr>
          <w:rFonts w:ascii="Arial" w:hAnsi="Arial" w:cs="Arial"/>
        </w:rPr>
        <w:t>nos termos de seu estatuto, a governança do Fundo será exercida pela Assembleia Geral, pelo Conselho de Administração e pela Diretoria Executiva, e está estruturada de modo a permitir a efetiva representatividade das associadas, sejam elas cooperativas independentes ou filiadas a sistemas cooperativistas de crédito, sendo o direito de voto proporcional às respectivas contribuições ordinárias.</w:t>
      </w:r>
    </w:p>
    <w:p w14:paraId="1115F478" w14:textId="77777777" w:rsidR="003F6724" w:rsidRPr="00A655BB" w:rsidRDefault="003F6724" w:rsidP="00973797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14:paraId="12505D6A" w14:textId="77777777" w:rsidR="003F6724" w:rsidRPr="00A655BB" w:rsidRDefault="003F6724" w:rsidP="004D2B9E">
      <w:pPr>
        <w:pStyle w:val="Ttulo8"/>
        <w:rPr>
          <w:sz w:val="20"/>
          <w:szCs w:val="20"/>
        </w:rPr>
      </w:pPr>
      <w:r w:rsidRPr="00A655BB">
        <w:rPr>
          <w:sz w:val="20"/>
          <w:szCs w:val="20"/>
        </w:rPr>
        <w:t>Agradecimentos</w:t>
      </w:r>
    </w:p>
    <w:p w14:paraId="301C595D" w14:textId="77777777" w:rsidR="003F6724" w:rsidRPr="00A655BB" w:rsidRDefault="003F6724" w:rsidP="004D2B9E">
      <w:pPr>
        <w:rPr>
          <w:rFonts w:ascii="Arial" w:hAnsi="Arial" w:cs="Arial"/>
        </w:rPr>
      </w:pPr>
    </w:p>
    <w:p w14:paraId="4A9D24EB" w14:textId="77777777" w:rsidR="003F6724" w:rsidRPr="00A655BB" w:rsidRDefault="003F6724" w:rsidP="004D2B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Agradecemos aos nossos a</w:t>
      </w:r>
      <w:r w:rsidRPr="00A655BB">
        <w:rPr>
          <w:rFonts w:ascii="Arial" w:hAnsi="Arial" w:cs="Arial"/>
        </w:rPr>
        <w:t xml:space="preserve">ssociados pela preferência e confiança e aos </w:t>
      </w:r>
      <w:r>
        <w:rPr>
          <w:rFonts w:ascii="Arial" w:hAnsi="Arial" w:cs="Arial"/>
        </w:rPr>
        <w:t>empregados</w:t>
      </w:r>
      <w:r w:rsidRPr="00A655BB">
        <w:rPr>
          <w:rFonts w:ascii="Arial" w:hAnsi="Arial" w:cs="Arial"/>
        </w:rPr>
        <w:t xml:space="preserve"> pela dedicação.</w:t>
      </w:r>
    </w:p>
    <w:p w14:paraId="099E26F0" w14:textId="77777777" w:rsidR="003F6724" w:rsidRPr="00A655BB" w:rsidRDefault="003F6724">
      <w:pPr>
        <w:rPr>
          <w:rFonts w:ascii="Arial" w:hAnsi="Arial" w:cs="Arial"/>
        </w:rPr>
      </w:pPr>
    </w:p>
    <w:p w14:paraId="13487751" w14:textId="77777777" w:rsidR="003F6724" w:rsidRPr="00A655BB" w:rsidRDefault="003F6724">
      <w:pPr>
        <w:rPr>
          <w:rFonts w:ascii="Arial" w:hAnsi="Arial" w:cs="Arial"/>
        </w:rPr>
      </w:pPr>
    </w:p>
    <w:p w14:paraId="5E1625C2" w14:textId="7E9601CB" w:rsidR="003F6724" w:rsidRDefault="00225F3D" w:rsidP="00217618">
      <w:pPr>
        <w:jc w:val="both"/>
        <w:rPr>
          <w:rFonts w:ascii="Arial" w:hAnsi="Arial" w:cs="Arial"/>
        </w:rPr>
      </w:pPr>
      <w:r w:rsidRPr="00225F3D">
        <w:rPr>
          <w:rFonts w:ascii="Arial" w:hAnsi="Arial" w:cs="Arial"/>
          <w:noProof/>
        </w:rPr>
        <w:t>Martinho Campos</w:t>
      </w:r>
      <w:r w:rsidR="00DF6179" w:rsidRPr="00225F3D">
        <w:rPr>
          <w:rFonts w:ascii="Arial" w:hAnsi="Arial" w:cs="Arial"/>
          <w:noProof/>
        </w:rPr>
        <w:t xml:space="preserve"> (</w:t>
      </w:r>
      <w:r w:rsidR="003F6724" w:rsidRPr="00225F3D">
        <w:rPr>
          <w:rFonts w:ascii="Arial" w:hAnsi="Arial" w:cs="Arial"/>
          <w:noProof/>
        </w:rPr>
        <w:t>MG</w:t>
      </w:r>
      <w:r w:rsidR="00DF6179" w:rsidRPr="00225F3D">
        <w:rPr>
          <w:rFonts w:ascii="Arial" w:hAnsi="Arial" w:cs="Arial"/>
          <w:noProof/>
        </w:rPr>
        <w:t>)</w:t>
      </w:r>
      <w:r w:rsidR="003F6724" w:rsidRPr="00225F3D">
        <w:rPr>
          <w:rFonts w:ascii="Arial" w:hAnsi="Arial" w:cs="Arial"/>
        </w:rPr>
        <w:t>,</w:t>
      </w:r>
      <w:r w:rsidR="00F95B18" w:rsidRPr="00225F3D">
        <w:rPr>
          <w:rFonts w:ascii="Arial" w:hAnsi="Arial" w:cs="Arial"/>
        </w:rPr>
        <w:t xml:space="preserve"> </w:t>
      </w:r>
      <w:r w:rsidR="00DF6179" w:rsidRPr="00225F3D">
        <w:rPr>
          <w:rFonts w:ascii="Arial" w:hAnsi="Arial" w:cs="Arial"/>
        </w:rPr>
        <w:t>2</w:t>
      </w:r>
      <w:r w:rsidRPr="00225F3D">
        <w:rPr>
          <w:rFonts w:ascii="Arial" w:hAnsi="Arial" w:cs="Arial"/>
        </w:rPr>
        <w:t>4</w:t>
      </w:r>
      <w:r w:rsidR="00F95B18" w:rsidRPr="00225F3D">
        <w:rPr>
          <w:rFonts w:ascii="Arial" w:hAnsi="Arial" w:cs="Arial"/>
        </w:rPr>
        <w:t xml:space="preserve"> de </w:t>
      </w:r>
      <w:r w:rsidR="00DF6179" w:rsidRPr="00225F3D">
        <w:rPr>
          <w:rFonts w:ascii="Arial" w:hAnsi="Arial" w:cs="Arial"/>
        </w:rPr>
        <w:t xml:space="preserve">janeiro </w:t>
      </w:r>
      <w:r w:rsidR="00F95B18" w:rsidRPr="00225F3D">
        <w:rPr>
          <w:rFonts w:ascii="Arial" w:hAnsi="Arial" w:cs="Arial"/>
        </w:rPr>
        <w:t xml:space="preserve">de </w:t>
      </w:r>
      <w:r w:rsidR="00DF6179" w:rsidRPr="00225F3D">
        <w:rPr>
          <w:rFonts w:ascii="Arial" w:hAnsi="Arial" w:cs="Arial"/>
        </w:rPr>
        <w:t>2022</w:t>
      </w:r>
      <w:r w:rsidR="00F95B18" w:rsidRPr="00225F3D">
        <w:rPr>
          <w:rFonts w:ascii="Arial" w:hAnsi="Arial" w:cs="Arial"/>
        </w:rPr>
        <w:t>.</w:t>
      </w:r>
    </w:p>
    <w:p w14:paraId="5C49964D" w14:textId="77777777" w:rsidR="00F95B18" w:rsidRPr="00A655BB" w:rsidRDefault="00F95B18" w:rsidP="00217618">
      <w:pPr>
        <w:jc w:val="both"/>
        <w:rPr>
          <w:rFonts w:ascii="Arial" w:hAnsi="Arial" w:cs="Arial"/>
        </w:rPr>
      </w:pPr>
    </w:p>
    <w:p w14:paraId="12B35A52" w14:textId="77777777" w:rsidR="003F6724" w:rsidRPr="00A655BB" w:rsidRDefault="003F6724">
      <w:pPr>
        <w:rPr>
          <w:rFonts w:ascii="Arial" w:hAnsi="Arial" w:cs="Arial"/>
          <w:b/>
        </w:rPr>
      </w:pPr>
    </w:p>
    <w:p w14:paraId="059CC346" w14:textId="77777777" w:rsidR="003F6724" w:rsidRDefault="003F6724">
      <w:pPr>
        <w:rPr>
          <w:rFonts w:ascii="Arial" w:hAnsi="Arial" w:cs="Arial"/>
          <w:b/>
        </w:rPr>
        <w:sectPr w:rsidR="003F6724" w:rsidSect="003F67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77" w:right="1701" w:bottom="851" w:left="1701" w:header="720" w:footer="720" w:gutter="0"/>
          <w:pgNumType w:start="1"/>
          <w:cols w:space="720"/>
        </w:sectPr>
      </w:pPr>
      <w:r w:rsidRPr="00A655BB">
        <w:rPr>
          <w:rFonts w:ascii="Arial" w:hAnsi="Arial" w:cs="Arial"/>
          <w:b/>
        </w:rPr>
        <w:t>Conselho de Administração e Diretoria</w:t>
      </w:r>
    </w:p>
    <w:p w14:paraId="69FC12D8" w14:textId="51391D2F" w:rsidR="003F6724" w:rsidRDefault="003F6724">
      <w:pPr>
        <w:rPr>
          <w:rFonts w:ascii="Arial" w:hAnsi="Arial" w:cs="Arial"/>
          <w:b/>
        </w:rPr>
      </w:pPr>
    </w:p>
    <w:p w14:paraId="17216500" w14:textId="0CCB7C96" w:rsidR="00873B66" w:rsidRDefault="00873B66">
      <w:pPr>
        <w:rPr>
          <w:rFonts w:ascii="Arial" w:hAnsi="Arial" w:cs="Arial"/>
          <w:b/>
        </w:rPr>
      </w:pPr>
    </w:p>
    <w:tbl>
      <w:tblPr>
        <w:tblStyle w:val="Tabelacomgrade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46"/>
        <w:gridCol w:w="3969"/>
      </w:tblGrid>
      <w:tr w:rsidR="00496D93" w:rsidRPr="00176D02" w14:paraId="2CD19A37" w14:textId="77777777" w:rsidTr="00496D93">
        <w:tc>
          <w:tcPr>
            <w:tcW w:w="4111" w:type="dxa"/>
          </w:tcPr>
          <w:p w14:paraId="30C0C8DB" w14:textId="4BACDD29" w:rsidR="00496D93" w:rsidRDefault="00496D93" w:rsidP="003D3F1D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698B0994" w14:textId="77777777" w:rsidR="001B1A30" w:rsidRDefault="001B1A30">
            <w:pPr>
              <w:rPr>
                <w:rFonts w:ascii="Arial" w:hAnsi="Arial" w:cs="Arial"/>
              </w:rPr>
            </w:pPr>
            <w:r w:rsidRPr="001B1A30">
              <w:rPr>
                <w:rFonts w:ascii="Arial" w:hAnsi="Arial" w:cs="Arial"/>
              </w:rPr>
              <w:t xml:space="preserve">Marco Aurelio Arruda Duarte </w:t>
            </w:r>
          </w:p>
          <w:p w14:paraId="61684CB8" w14:textId="2878643A" w:rsidR="00496D93" w:rsidRPr="00176D02" w:rsidRDefault="001B1A30">
            <w:pPr>
              <w:rPr>
                <w:rFonts w:ascii="Arial" w:hAnsi="Arial" w:cs="Arial"/>
                <w:highlight w:val="yellow"/>
              </w:rPr>
            </w:pPr>
            <w:r w:rsidRPr="001B1A30">
              <w:rPr>
                <w:rFonts w:ascii="Arial" w:hAnsi="Arial" w:cs="Arial"/>
              </w:rPr>
              <w:t>Diretor</w:t>
            </w:r>
          </w:p>
        </w:tc>
        <w:tc>
          <w:tcPr>
            <w:tcW w:w="846" w:type="dxa"/>
          </w:tcPr>
          <w:p w14:paraId="6661F39E" w14:textId="70867619" w:rsidR="00496D93" w:rsidRPr="00176D02" w:rsidRDefault="00496D93" w:rsidP="00496D9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69" w:type="dxa"/>
          </w:tcPr>
          <w:p w14:paraId="0AFCE449" w14:textId="5008383A" w:rsidR="00496D93" w:rsidRPr="00176D02" w:rsidRDefault="00496D93" w:rsidP="00D76DB3">
            <w:pPr>
              <w:pBdr>
                <w:bottom w:val="single" w:sz="12" w:space="1" w:color="auto"/>
              </w:pBdr>
              <w:rPr>
                <w:rFonts w:ascii="Arial" w:hAnsi="Arial" w:cs="Arial"/>
                <w:highlight w:val="yellow"/>
              </w:rPr>
            </w:pPr>
          </w:p>
          <w:p w14:paraId="10531BC0" w14:textId="77777777" w:rsidR="001B1A30" w:rsidRDefault="001B1A30">
            <w:pPr>
              <w:rPr>
                <w:rFonts w:ascii="Arial" w:hAnsi="Arial" w:cs="Arial"/>
              </w:rPr>
            </w:pPr>
            <w:r w:rsidRPr="001B1A30">
              <w:rPr>
                <w:rFonts w:ascii="Arial" w:hAnsi="Arial" w:cs="Arial"/>
              </w:rPr>
              <w:t xml:space="preserve">José Antônio de Freitas </w:t>
            </w:r>
          </w:p>
          <w:p w14:paraId="795429B9" w14:textId="594EA97A" w:rsidR="00496D93" w:rsidRPr="00176D02" w:rsidRDefault="001B1A30">
            <w:pPr>
              <w:rPr>
                <w:rFonts w:ascii="Arial" w:hAnsi="Arial" w:cs="Arial"/>
                <w:highlight w:val="yellow"/>
              </w:rPr>
            </w:pPr>
            <w:r w:rsidRPr="001B1A30">
              <w:rPr>
                <w:rFonts w:ascii="Arial" w:hAnsi="Arial" w:cs="Arial"/>
              </w:rPr>
              <w:t>Diretor de Riscos</w:t>
            </w:r>
          </w:p>
        </w:tc>
      </w:tr>
      <w:tr w:rsidR="00496D93" w:rsidRPr="00176D02" w14:paraId="0497824B" w14:textId="77777777" w:rsidTr="00496D93">
        <w:tc>
          <w:tcPr>
            <w:tcW w:w="4111" w:type="dxa"/>
          </w:tcPr>
          <w:p w14:paraId="1CE92461" w14:textId="0054D2F9" w:rsidR="00496D93" w:rsidRPr="00176D02" w:rsidRDefault="00496D93" w:rsidP="00D76DB3">
            <w:pPr>
              <w:pBdr>
                <w:bottom w:val="single" w:sz="12" w:space="1" w:color="auto"/>
              </w:pBdr>
              <w:rPr>
                <w:rFonts w:ascii="Arial" w:hAnsi="Arial" w:cs="Arial"/>
                <w:highlight w:val="yellow"/>
              </w:rPr>
            </w:pPr>
          </w:p>
          <w:p w14:paraId="69FA4F98" w14:textId="77777777" w:rsidR="001B1A30" w:rsidRDefault="001B1A30" w:rsidP="00496D93">
            <w:pPr>
              <w:ind w:right="33"/>
              <w:rPr>
                <w:rFonts w:ascii="Arial" w:hAnsi="Arial" w:cs="Arial"/>
              </w:rPr>
            </w:pPr>
            <w:r w:rsidRPr="001B1A30">
              <w:rPr>
                <w:rFonts w:ascii="Arial" w:hAnsi="Arial" w:cs="Arial"/>
              </w:rPr>
              <w:t xml:space="preserve">José Adelmo Lino da Silva </w:t>
            </w:r>
          </w:p>
          <w:p w14:paraId="4CFC9389" w14:textId="5AFFE64D" w:rsidR="00496D93" w:rsidRPr="00176D02" w:rsidRDefault="001B1A30" w:rsidP="00496D93">
            <w:pPr>
              <w:ind w:right="33"/>
              <w:rPr>
                <w:rFonts w:ascii="Arial" w:hAnsi="Arial" w:cs="Arial"/>
                <w:highlight w:val="yellow"/>
              </w:rPr>
            </w:pPr>
            <w:r w:rsidRPr="001B1A30">
              <w:rPr>
                <w:rFonts w:ascii="Arial" w:hAnsi="Arial" w:cs="Arial"/>
              </w:rPr>
              <w:t>Presidente do Conselho</w:t>
            </w:r>
          </w:p>
        </w:tc>
        <w:tc>
          <w:tcPr>
            <w:tcW w:w="846" w:type="dxa"/>
          </w:tcPr>
          <w:p w14:paraId="0845E936" w14:textId="09E92851" w:rsidR="00496D93" w:rsidRPr="00176D02" w:rsidRDefault="00496D93" w:rsidP="00496D9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69" w:type="dxa"/>
          </w:tcPr>
          <w:p w14:paraId="22D2C9D8" w14:textId="20E18F5F" w:rsidR="00496D93" w:rsidRPr="00176D02" w:rsidRDefault="00496D93" w:rsidP="00D76DB3">
            <w:pPr>
              <w:pBdr>
                <w:bottom w:val="single" w:sz="12" w:space="1" w:color="auto"/>
              </w:pBdr>
              <w:rPr>
                <w:rFonts w:ascii="Arial" w:hAnsi="Arial" w:cs="Arial"/>
                <w:highlight w:val="yellow"/>
              </w:rPr>
            </w:pPr>
          </w:p>
          <w:p w14:paraId="34DF08E9" w14:textId="77777777" w:rsidR="001B1A30" w:rsidRDefault="001B1A30">
            <w:pPr>
              <w:rPr>
                <w:rFonts w:ascii="Arial" w:hAnsi="Arial" w:cs="Arial"/>
              </w:rPr>
            </w:pPr>
            <w:r w:rsidRPr="001B1A30">
              <w:rPr>
                <w:rFonts w:ascii="Arial" w:hAnsi="Arial" w:cs="Arial"/>
              </w:rPr>
              <w:t xml:space="preserve">Evandro Francisco Costa </w:t>
            </w:r>
          </w:p>
          <w:p w14:paraId="10B4D68C" w14:textId="024E46C9" w:rsidR="00496D93" w:rsidRPr="00176D02" w:rsidRDefault="001B1A30">
            <w:pPr>
              <w:rPr>
                <w:rFonts w:ascii="Arial" w:hAnsi="Arial" w:cs="Arial"/>
                <w:highlight w:val="yellow"/>
              </w:rPr>
            </w:pPr>
            <w:r w:rsidRPr="001B1A30">
              <w:rPr>
                <w:rFonts w:ascii="Arial" w:hAnsi="Arial" w:cs="Arial"/>
              </w:rPr>
              <w:t>Conselheiro de Administração</w:t>
            </w:r>
          </w:p>
        </w:tc>
      </w:tr>
      <w:tr w:rsidR="00496D93" w:rsidRPr="00176D02" w14:paraId="6DEFCE2A" w14:textId="77777777" w:rsidTr="00496D93">
        <w:tc>
          <w:tcPr>
            <w:tcW w:w="4111" w:type="dxa"/>
          </w:tcPr>
          <w:p w14:paraId="6F48B044" w14:textId="4522ED43" w:rsidR="00496D93" w:rsidRPr="00176D02" w:rsidRDefault="00496D93" w:rsidP="00F61B57">
            <w:pPr>
              <w:pBdr>
                <w:bottom w:val="single" w:sz="12" w:space="1" w:color="auto"/>
              </w:pBdr>
              <w:rPr>
                <w:rFonts w:ascii="Arial" w:hAnsi="Arial" w:cs="Arial"/>
                <w:highlight w:val="yellow"/>
              </w:rPr>
            </w:pPr>
          </w:p>
          <w:p w14:paraId="20A138AC" w14:textId="77777777" w:rsidR="00820992" w:rsidRDefault="00820992" w:rsidP="00D76DB3">
            <w:pPr>
              <w:rPr>
                <w:rFonts w:ascii="Arial" w:hAnsi="Arial" w:cs="Arial"/>
              </w:rPr>
            </w:pPr>
            <w:r w:rsidRPr="00820992">
              <w:rPr>
                <w:rFonts w:ascii="Arial" w:hAnsi="Arial" w:cs="Arial"/>
              </w:rPr>
              <w:t xml:space="preserve">Laender Lenon Corgozinho </w:t>
            </w:r>
          </w:p>
          <w:p w14:paraId="4E5BF41C" w14:textId="693980CA" w:rsidR="00496D93" w:rsidRPr="00176D02" w:rsidRDefault="00820992" w:rsidP="00D76DB3">
            <w:pPr>
              <w:rPr>
                <w:rFonts w:ascii="Arial" w:hAnsi="Arial" w:cs="Arial"/>
                <w:highlight w:val="yellow"/>
              </w:rPr>
            </w:pPr>
            <w:r w:rsidRPr="00820992">
              <w:rPr>
                <w:rFonts w:ascii="Arial" w:hAnsi="Arial" w:cs="Arial"/>
              </w:rPr>
              <w:t>Conselheiro de Administração</w:t>
            </w:r>
          </w:p>
        </w:tc>
        <w:tc>
          <w:tcPr>
            <w:tcW w:w="846" w:type="dxa"/>
          </w:tcPr>
          <w:p w14:paraId="3BFC3DF3" w14:textId="211DBC56" w:rsidR="00496D93" w:rsidRPr="00176D02" w:rsidRDefault="00496D93" w:rsidP="00496D9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69" w:type="dxa"/>
          </w:tcPr>
          <w:p w14:paraId="38B0B3D5" w14:textId="5E0EB8B2" w:rsidR="00496D93" w:rsidRPr="00176D02" w:rsidRDefault="00496D93" w:rsidP="00D76DB3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757742CE" w14:textId="7B4AE180" w:rsidR="003D3F1D" w:rsidRDefault="003D3F1D">
      <w:pPr>
        <w:rPr>
          <w:rFonts w:ascii="Arial" w:hAnsi="Arial" w:cs="Arial"/>
          <w:b/>
        </w:rPr>
      </w:pPr>
    </w:p>
    <w:p w14:paraId="02B9F7B2" w14:textId="33601572" w:rsidR="003D3F1D" w:rsidRDefault="003D3F1D">
      <w:pPr>
        <w:rPr>
          <w:rFonts w:ascii="Arial" w:hAnsi="Arial" w:cs="Arial"/>
          <w:b/>
        </w:rPr>
      </w:pPr>
    </w:p>
    <w:p w14:paraId="46ED4C21" w14:textId="77777777" w:rsidR="00CA135A" w:rsidRDefault="00CA135A" w:rsidP="00A0172A">
      <w:pPr>
        <w:rPr>
          <w:rFonts w:ascii="Arial" w:hAnsi="Arial" w:cs="Arial"/>
        </w:rPr>
      </w:pPr>
    </w:p>
    <w:p w14:paraId="2C70E7D3" w14:textId="77777777" w:rsidR="00CA135A" w:rsidRDefault="00CA135A" w:rsidP="00A0172A">
      <w:pPr>
        <w:rPr>
          <w:rFonts w:ascii="Arial" w:hAnsi="Arial" w:cs="Arial"/>
        </w:rPr>
      </w:pPr>
    </w:p>
    <w:p w14:paraId="7EFEDF62" w14:textId="12CCBFB2" w:rsidR="00C7414F" w:rsidRDefault="00C7414F">
      <w:pPr>
        <w:rPr>
          <w:rFonts w:ascii="Arial" w:hAnsi="Arial" w:cs="Arial"/>
        </w:rPr>
      </w:pPr>
    </w:p>
    <w:p w14:paraId="3220DD11" w14:textId="31CDA4FA" w:rsidR="00C7414F" w:rsidRDefault="00C7414F">
      <w:pPr>
        <w:rPr>
          <w:rFonts w:ascii="Arial" w:hAnsi="Arial" w:cs="Arial"/>
        </w:rPr>
      </w:pPr>
    </w:p>
    <w:p w14:paraId="285FA3B6" w14:textId="78184738" w:rsidR="00C7414F" w:rsidRDefault="00C7414F">
      <w:pPr>
        <w:rPr>
          <w:rFonts w:ascii="Arial" w:hAnsi="Arial" w:cs="Arial"/>
        </w:rPr>
      </w:pPr>
    </w:p>
    <w:p w14:paraId="10147363" w14:textId="7B9B603F" w:rsidR="00C7414F" w:rsidRDefault="00C7414F">
      <w:pPr>
        <w:rPr>
          <w:rFonts w:ascii="Arial" w:hAnsi="Arial" w:cs="Arial"/>
        </w:rPr>
      </w:pPr>
    </w:p>
    <w:p w14:paraId="220F9C4A" w14:textId="4BEB74C9" w:rsidR="00C7414F" w:rsidRDefault="00C7414F">
      <w:pPr>
        <w:rPr>
          <w:rFonts w:ascii="Arial" w:hAnsi="Arial" w:cs="Arial"/>
        </w:rPr>
      </w:pPr>
    </w:p>
    <w:sectPr w:rsidR="00C7414F" w:rsidSect="003F6724">
      <w:type w:val="continuous"/>
      <w:pgSz w:w="12240" w:h="15840"/>
      <w:pgMar w:top="1077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8188" w14:textId="77777777" w:rsidR="00A75C16" w:rsidRDefault="00A75C16" w:rsidP="00E16B38">
      <w:r>
        <w:separator/>
      </w:r>
    </w:p>
  </w:endnote>
  <w:endnote w:type="continuationSeparator" w:id="0">
    <w:p w14:paraId="299454DF" w14:textId="77777777" w:rsidR="00A75C16" w:rsidRDefault="00A75C16" w:rsidP="00E1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D2A7" w14:textId="77777777" w:rsidR="009802CC" w:rsidRDefault="009802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0C33" w14:textId="77777777" w:rsidR="009802CC" w:rsidRDefault="009802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E5B4" w14:textId="77777777" w:rsidR="009802CC" w:rsidRDefault="00980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3541" w14:textId="77777777" w:rsidR="00A75C16" w:rsidRDefault="00A75C16" w:rsidP="00E16B38">
      <w:r>
        <w:separator/>
      </w:r>
    </w:p>
  </w:footnote>
  <w:footnote w:type="continuationSeparator" w:id="0">
    <w:p w14:paraId="4991F765" w14:textId="77777777" w:rsidR="00A75C16" w:rsidRDefault="00A75C16" w:rsidP="00E1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B70C" w14:textId="77777777" w:rsidR="009802CC" w:rsidRDefault="009802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C2CA" w14:textId="5ED9470A" w:rsidR="00543C36" w:rsidRDefault="00543C36">
    <w:pPr>
      <w:pStyle w:val="Cabealho"/>
    </w:pPr>
    <w:r>
      <w:rPr>
        <w:noProof/>
      </w:rPr>
      <w:drawing>
        <wp:inline distT="0" distB="0" distL="0" distR="0" wp14:anchorId="508738A0" wp14:editId="6E9444D6">
          <wp:extent cx="885825" cy="238125"/>
          <wp:effectExtent l="0" t="0" r="9525" b="9525"/>
          <wp:docPr id="2" name="Picture">
            <a:extLst xmlns:a="http://schemas.openxmlformats.org/drawingml/2006/main">
              <a:ext uri="{FF2B5EF4-FFF2-40B4-BE49-F238E27FC236}">
                <a16:creationId xmlns:a16="http://schemas.microsoft.com/office/drawing/2014/main" id="{23A2C6B6-0EA9-4DDC-AC98-754BF688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Picture">
                    <a:extLst>
                      <a:ext uri="{FF2B5EF4-FFF2-40B4-BE49-F238E27FC236}">
                        <a16:creationId xmlns:a16="http://schemas.microsoft.com/office/drawing/2014/main" id="{23A2C6B6-0EA9-4DDC-AC98-754BF68828C7}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 t="2631" b="2631"/>
                  </a:stretch>
                </pic:blipFill>
                <pic:spPr>
                  <a:xfrm>
                    <a:off x="0" y="0"/>
                    <a:ext cx="8858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2007" w14:textId="77777777" w:rsidR="009802CC" w:rsidRDefault="009802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A37E9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1EE2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E3FCC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AC56C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B5121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61F0C07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A43E6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7485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BF860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E8522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5A5A90"/>
    <w:multiLevelType w:val="singleLevel"/>
    <w:tmpl w:val="061EF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07C11A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1">
    <w:nsid w:val="1B682D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1">
    <w:nsid w:val="1D283FD9"/>
    <w:multiLevelType w:val="hybridMultilevel"/>
    <w:tmpl w:val="2D989E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7BF15A7"/>
    <w:multiLevelType w:val="hybridMultilevel"/>
    <w:tmpl w:val="B9F20CB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1">
    <w:nsid w:val="28CC420A"/>
    <w:multiLevelType w:val="singleLevel"/>
    <w:tmpl w:val="04160001"/>
    <w:lvl w:ilvl="0">
      <w:start w:val="15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1">
    <w:nsid w:val="2DBC5306"/>
    <w:multiLevelType w:val="hybridMultilevel"/>
    <w:tmpl w:val="B6D8F3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EE63E5F"/>
    <w:multiLevelType w:val="hybridMultilevel"/>
    <w:tmpl w:val="77BE4F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2C953C6"/>
    <w:multiLevelType w:val="hybridMultilevel"/>
    <w:tmpl w:val="4058F602"/>
    <w:lvl w:ilvl="0" w:tplc="4420E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6B96D4D"/>
    <w:multiLevelType w:val="multilevel"/>
    <w:tmpl w:val="E0D6F2E0"/>
    <w:lvl w:ilvl="0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83"/>
        </w:tabs>
        <w:ind w:left="258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03"/>
        </w:tabs>
        <w:ind w:left="33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23"/>
        </w:tabs>
        <w:ind w:left="40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43"/>
        </w:tabs>
        <w:ind w:left="474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03"/>
        </w:tabs>
        <w:ind w:left="690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</w:rPr>
    </w:lvl>
  </w:abstractNum>
  <w:abstractNum w:abstractNumId="20" w15:restartNumberingAfterBreak="1">
    <w:nsid w:val="4D916C5F"/>
    <w:multiLevelType w:val="hybridMultilevel"/>
    <w:tmpl w:val="6C46576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1">
    <w:nsid w:val="55C5347D"/>
    <w:multiLevelType w:val="multilevel"/>
    <w:tmpl w:val="B1603B94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1">
    <w:nsid w:val="59EC0939"/>
    <w:multiLevelType w:val="multilevel"/>
    <w:tmpl w:val="0F86016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1">
    <w:nsid w:val="5C5D19D5"/>
    <w:multiLevelType w:val="hybridMultilevel"/>
    <w:tmpl w:val="B41C1570"/>
    <w:lvl w:ilvl="0" w:tplc="CE46F2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56B16A3"/>
    <w:multiLevelType w:val="hybridMultilevel"/>
    <w:tmpl w:val="73F4E1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68886FCD"/>
    <w:multiLevelType w:val="multilevel"/>
    <w:tmpl w:val="99A0F4DE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1">
    <w:nsid w:val="72335734"/>
    <w:multiLevelType w:val="hybridMultilevel"/>
    <w:tmpl w:val="43EC3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529772B"/>
    <w:multiLevelType w:val="hybridMultilevel"/>
    <w:tmpl w:val="F50C65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D6B4FEE"/>
    <w:multiLevelType w:val="multilevel"/>
    <w:tmpl w:val="61F0AB7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780"/>
        </w:tabs>
        <w:ind w:left="378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320"/>
        </w:tabs>
        <w:ind w:left="4320" w:hanging="288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5"/>
  </w:num>
  <w:num w:numId="5">
    <w:abstractNumId w:val="21"/>
  </w:num>
  <w:num w:numId="6">
    <w:abstractNumId w:val="11"/>
  </w:num>
  <w:num w:numId="7">
    <w:abstractNumId w:val="10"/>
  </w:num>
  <w:num w:numId="8">
    <w:abstractNumId w:val="12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6"/>
  </w:num>
  <w:num w:numId="20">
    <w:abstractNumId w:val="24"/>
  </w:num>
  <w:num w:numId="21">
    <w:abstractNumId w:val="18"/>
  </w:num>
  <w:num w:numId="22">
    <w:abstractNumId w:val="17"/>
  </w:num>
  <w:num w:numId="23">
    <w:abstractNumId w:val="14"/>
  </w:num>
  <w:num w:numId="24">
    <w:abstractNumId w:val="22"/>
  </w:num>
  <w:num w:numId="25">
    <w:abstractNumId w:val="23"/>
  </w:num>
  <w:num w:numId="26">
    <w:abstractNumId w:val="13"/>
  </w:num>
  <w:num w:numId="27">
    <w:abstractNumId w:val="16"/>
  </w:num>
  <w:num w:numId="28">
    <w:abstractNumId w:val="2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C2"/>
    <w:rsid w:val="000120D8"/>
    <w:rsid w:val="00014FE5"/>
    <w:rsid w:val="000200E0"/>
    <w:rsid w:val="00053FCA"/>
    <w:rsid w:val="00075946"/>
    <w:rsid w:val="0007648F"/>
    <w:rsid w:val="000814AB"/>
    <w:rsid w:val="00084F1C"/>
    <w:rsid w:val="00096245"/>
    <w:rsid w:val="000A7301"/>
    <w:rsid w:val="000B19DD"/>
    <w:rsid w:val="000B2DC3"/>
    <w:rsid w:val="000B3B4D"/>
    <w:rsid w:val="000C1C2C"/>
    <w:rsid w:val="000C254B"/>
    <w:rsid w:val="000D0262"/>
    <w:rsid w:val="000E784E"/>
    <w:rsid w:val="000F6EF8"/>
    <w:rsid w:val="00115B50"/>
    <w:rsid w:val="00123082"/>
    <w:rsid w:val="00123150"/>
    <w:rsid w:val="001330B3"/>
    <w:rsid w:val="001354D5"/>
    <w:rsid w:val="00140B64"/>
    <w:rsid w:val="0016360A"/>
    <w:rsid w:val="00176D02"/>
    <w:rsid w:val="001835E9"/>
    <w:rsid w:val="00184131"/>
    <w:rsid w:val="0019327A"/>
    <w:rsid w:val="00193790"/>
    <w:rsid w:val="001A06A4"/>
    <w:rsid w:val="001A0F37"/>
    <w:rsid w:val="001B19FC"/>
    <w:rsid w:val="001B1A30"/>
    <w:rsid w:val="001B22EA"/>
    <w:rsid w:val="001B7B7F"/>
    <w:rsid w:val="001C1D95"/>
    <w:rsid w:val="001D24F1"/>
    <w:rsid w:val="001E1D49"/>
    <w:rsid w:val="001E20C6"/>
    <w:rsid w:val="001E27FA"/>
    <w:rsid w:val="001E3CA3"/>
    <w:rsid w:val="001E7D17"/>
    <w:rsid w:val="001F6423"/>
    <w:rsid w:val="00206BE4"/>
    <w:rsid w:val="00207FC6"/>
    <w:rsid w:val="00210C74"/>
    <w:rsid w:val="00211594"/>
    <w:rsid w:val="00217618"/>
    <w:rsid w:val="00221A2F"/>
    <w:rsid w:val="00225F3D"/>
    <w:rsid w:val="00233C90"/>
    <w:rsid w:val="00246051"/>
    <w:rsid w:val="00251981"/>
    <w:rsid w:val="00253955"/>
    <w:rsid w:val="002572E6"/>
    <w:rsid w:val="00285929"/>
    <w:rsid w:val="00292C94"/>
    <w:rsid w:val="002946C5"/>
    <w:rsid w:val="002952BC"/>
    <w:rsid w:val="002A3FFD"/>
    <w:rsid w:val="002A6A2B"/>
    <w:rsid w:val="002B2269"/>
    <w:rsid w:val="002B404E"/>
    <w:rsid w:val="002B4BA6"/>
    <w:rsid w:val="002B7CF6"/>
    <w:rsid w:val="002C1345"/>
    <w:rsid w:val="002C5BA9"/>
    <w:rsid w:val="002D0A80"/>
    <w:rsid w:val="002E25F5"/>
    <w:rsid w:val="002E62DD"/>
    <w:rsid w:val="0030341A"/>
    <w:rsid w:val="0030691D"/>
    <w:rsid w:val="003164E8"/>
    <w:rsid w:val="00325D81"/>
    <w:rsid w:val="003310B7"/>
    <w:rsid w:val="003360F0"/>
    <w:rsid w:val="0034764D"/>
    <w:rsid w:val="00381B24"/>
    <w:rsid w:val="00394B88"/>
    <w:rsid w:val="003A3636"/>
    <w:rsid w:val="003A5C97"/>
    <w:rsid w:val="003B4684"/>
    <w:rsid w:val="003C763A"/>
    <w:rsid w:val="003D169B"/>
    <w:rsid w:val="003D3F1D"/>
    <w:rsid w:val="003D66F3"/>
    <w:rsid w:val="003E4197"/>
    <w:rsid w:val="003F6724"/>
    <w:rsid w:val="00410622"/>
    <w:rsid w:val="0041149F"/>
    <w:rsid w:val="00421446"/>
    <w:rsid w:val="00432BFD"/>
    <w:rsid w:val="004330E2"/>
    <w:rsid w:val="004353C1"/>
    <w:rsid w:val="00440851"/>
    <w:rsid w:val="00457388"/>
    <w:rsid w:val="00484C9F"/>
    <w:rsid w:val="0048552E"/>
    <w:rsid w:val="004874B2"/>
    <w:rsid w:val="00487539"/>
    <w:rsid w:val="00492C2D"/>
    <w:rsid w:val="00496D93"/>
    <w:rsid w:val="004A121C"/>
    <w:rsid w:val="004B0D9A"/>
    <w:rsid w:val="004C1C98"/>
    <w:rsid w:val="004C3A42"/>
    <w:rsid w:val="004C6AB1"/>
    <w:rsid w:val="004C7661"/>
    <w:rsid w:val="004D2B9E"/>
    <w:rsid w:val="004D496C"/>
    <w:rsid w:val="004E0CF4"/>
    <w:rsid w:val="004E6CDA"/>
    <w:rsid w:val="004F6BB0"/>
    <w:rsid w:val="005038F6"/>
    <w:rsid w:val="00512FA5"/>
    <w:rsid w:val="0051574C"/>
    <w:rsid w:val="00517843"/>
    <w:rsid w:val="00536EF1"/>
    <w:rsid w:val="005404D6"/>
    <w:rsid w:val="00543C36"/>
    <w:rsid w:val="005517CF"/>
    <w:rsid w:val="0055387B"/>
    <w:rsid w:val="00555427"/>
    <w:rsid w:val="0056649A"/>
    <w:rsid w:val="005954FE"/>
    <w:rsid w:val="005A1DF2"/>
    <w:rsid w:val="005A513C"/>
    <w:rsid w:val="005B28AA"/>
    <w:rsid w:val="005C4CA8"/>
    <w:rsid w:val="005E36FB"/>
    <w:rsid w:val="005E6E99"/>
    <w:rsid w:val="005F2220"/>
    <w:rsid w:val="005F3DD2"/>
    <w:rsid w:val="0060502D"/>
    <w:rsid w:val="00606506"/>
    <w:rsid w:val="00607753"/>
    <w:rsid w:val="00614DFC"/>
    <w:rsid w:val="006239E9"/>
    <w:rsid w:val="0062441F"/>
    <w:rsid w:val="00632401"/>
    <w:rsid w:val="0063662B"/>
    <w:rsid w:val="006543B7"/>
    <w:rsid w:val="00654C2C"/>
    <w:rsid w:val="00655608"/>
    <w:rsid w:val="00666146"/>
    <w:rsid w:val="006662BC"/>
    <w:rsid w:val="006678BA"/>
    <w:rsid w:val="00675276"/>
    <w:rsid w:val="006925B6"/>
    <w:rsid w:val="006A0F04"/>
    <w:rsid w:val="006B227B"/>
    <w:rsid w:val="006B5552"/>
    <w:rsid w:val="006B5D5F"/>
    <w:rsid w:val="006C613C"/>
    <w:rsid w:val="006D1CDD"/>
    <w:rsid w:val="006D4C5A"/>
    <w:rsid w:val="006E2D46"/>
    <w:rsid w:val="006F6556"/>
    <w:rsid w:val="00713B7A"/>
    <w:rsid w:val="007177B6"/>
    <w:rsid w:val="00742817"/>
    <w:rsid w:val="0074436E"/>
    <w:rsid w:val="0076732F"/>
    <w:rsid w:val="00771417"/>
    <w:rsid w:val="007906D6"/>
    <w:rsid w:val="007924E2"/>
    <w:rsid w:val="007A4B1C"/>
    <w:rsid w:val="007B3C58"/>
    <w:rsid w:val="007C1E34"/>
    <w:rsid w:val="007F14E9"/>
    <w:rsid w:val="0080228F"/>
    <w:rsid w:val="008076DC"/>
    <w:rsid w:val="00807C8F"/>
    <w:rsid w:val="00820992"/>
    <w:rsid w:val="00842455"/>
    <w:rsid w:val="008565B8"/>
    <w:rsid w:val="00873B66"/>
    <w:rsid w:val="00875620"/>
    <w:rsid w:val="008813D8"/>
    <w:rsid w:val="008871A8"/>
    <w:rsid w:val="00892D40"/>
    <w:rsid w:val="00893941"/>
    <w:rsid w:val="008D2424"/>
    <w:rsid w:val="008D748D"/>
    <w:rsid w:val="008E69F9"/>
    <w:rsid w:val="00910CC2"/>
    <w:rsid w:val="00911F55"/>
    <w:rsid w:val="0091358E"/>
    <w:rsid w:val="009173A6"/>
    <w:rsid w:val="00941DA0"/>
    <w:rsid w:val="00952A5B"/>
    <w:rsid w:val="00955083"/>
    <w:rsid w:val="00964B50"/>
    <w:rsid w:val="00973797"/>
    <w:rsid w:val="009802CC"/>
    <w:rsid w:val="009817B9"/>
    <w:rsid w:val="00981F8D"/>
    <w:rsid w:val="009A0B6D"/>
    <w:rsid w:val="009A194C"/>
    <w:rsid w:val="009E013A"/>
    <w:rsid w:val="009E77E4"/>
    <w:rsid w:val="009F08A0"/>
    <w:rsid w:val="009F5349"/>
    <w:rsid w:val="00A0172A"/>
    <w:rsid w:val="00A03F84"/>
    <w:rsid w:val="00A079A8"/>
    <w:rsid w:val="00A139D9"/>
    <w:rsid w:val="00A21FFB"/>
    <w:rsid w:val="00A23BF0"/>
    <w:rsid w:val="00A332AF"/>
    <w:rsid w:val="00A33DED"/>
    <w:rsid w:val="00A37B82"/>
    <w:rsid w:val="00A41C2F"/>
    <w:rsid w:val="00A52942"/>
    <w:rsid w:val="00A655BB"/>
    <w:rsid w:val="00A73267"/>
    <w:rsid w:val="00A7464F"/>
    <w:rsid w:val="00A75B79"/>
    <w:rsid w:val="00A75C16"/>
    <w:rsid w:val="00A777E1"/>
    <w:rsid w:val="00A83CB9"/>
    <w:rsid w:val="00AA2289"/>
    <w:rsid w:val="00AA25FD"/>
    <w:rsid w:val="00AA30A3"/>
    <w:rsid w:val="00AA39E1"/>
    <w:rsid w:val="00AA402E"/>
    <w:rsid w:val="00AA79F8"/>
    <w:rsid w:val="00AB1943"/>
    <w:rsid w:val="00AB6CCD"/>
    <w:rsid w:val="00AC13E5"/>
    <w:rsid w:val="00AC5D3F"/>
    <w:rsid w:val="00AC7685"/>
    <w:rsid w:val="00AD1B85"/>
    <w:rsid w:val="00AD689D"/>
    <w:rsid w:val="00AD6B79"/>
    <w:rsid w:val="00AF260D"/>
    <w:rsid w:val="00AF7563"/>
    <w:rsid w:val="00B10937"/>
    <w:rsid w:val="00B25456"/>
    <w:rsid w:val="00B30824"/>
    <w:rsid w:val="00B36F8A"/>
    <w:rsid w:val="00B3718B"/>
    <w:rsid w:val="00B43E9C"/>
    <w:rsid w:val="00B56FFD"/>
    <w:rsid w:val="00B622E9"/>
    <w:rsid w:val="00B67749"/>
    <w:rsid w:val="00B71F35"/>
    <w:rsid w:val="00B86CF6"/>
    <w:rsid w:val="00B87127"/>
    <w:rsid w:val="00B878B0"/>
    <w:rsid w:val="00B92E19"/>
    <w:rsid w:val="00BA12C3"/>
    <w:rsid w:val="00BA257F"/>
    <w:rsid w:val="00BA5D1A"/>
    <w:rsid w:val="00BA7549"/>
    <w:rsid w:val="00BB3BBB"/>
    <w:rsid w:val="00BC7D92"/>
    <w:rsid w:val="00BE617B"/>
    <w:rsid w:val="00C0284A"/>
    <w:rsid w:val="00C24F64"/>
    <w:rsid w:val="00C3354F"/>
    <w:rsid w:val="00C349F2"/>
    <w:rsid w:val="00C405D5"/>
    <w:rsid w:val="00C55D87"/>
    <w:rsid w:val="00C60574"/>
    <w:rsid w:val="00C629E0"/>
    <w:rsid w:val="00C6483C"/>
    <w:rsid w:val="00C659C8"/>
    <w:rsid w:val="00C7414F"/>
    <w:rsid w:val="00C83D71"/>
    <w:rsid w:val="00C852CD"/>
    <w:rsid w:val="00C86AA4"/>
    <w:rsid w:val="00C97C9D"/>
    <w:rsid w:val="00CA0A46"/>
    <w:rsid w:val="00CA135A"/>
    <w:rsid w:val="00CA63FE"/>
    <w:rsid w:val="00CB28BB"/>
    <w:rsid w:val="00CB49DF"/>
    <w:rsid w:val="00CC078F"/>
    <w:rsid w:val="00CC6BE8"/>
    <w:rsid w:val="00CD0A14"/>
    <w:rsid w:val="00CD2F65"/>
    <w:rsid w:val="00CD7555"/>
    <w:rsid w:val="00CE6798"/>
    <w:rsid w:val="00CE72B5"/>
    <w:rsid w:val="00D01869"/>
    <w:rsid w:val="00D02091"/>
    <w:rsid w:val="00D027EC"/>
    <w:rsid w:val="00D0507F"/>
    <w:rsid w:val="00D16475"/>
    <w:rsid w:val="00D16EC8"/>
    <w:rsid w:val="00D20FDF"/>
    <w:rsid w:val="00D21812"/>
    <w:rsid w:val="00D30C4D"/>
    <w:rsid w:val="00D3336C"/>
    <w:rsid w:val="00D36799"/>
    <w:rsid w:val="00D405C8"/>
    <w:rsid w:val="00D50F62"/>
    <w:rsid w:val="00D5754B"/>
    <w:rsid w:val="00D759C8"/>
    <w:rsid w:val="00D76DB3"/>
    <w:rsid w:val="00D77DBE"/>
    <w:rsid w:val="00D92488"/>
    <w:rsid w:val="00D9336C"/>
    <w:rsid w:val="00D9592D"/>
    <w:rsid w:val="00D95E78"/>
    <w:rsid w:val="00DD19C1"/>
    <w:rsid w:val="00DD71F7"/>
    <w:rsid w:val="00DE022D"/>
    <w:rsid w:val="00DE116D"/>
    <w:rsid w:val="00DE5559"/>
    <w:rsid w:val="00DF0619"/>
    <w:rsid w:val="00DF6179"/>
    <w:rsid w:val="00E0457D"/>
    <w:rsid w:val="00E07018"/>
    <w:rsid w:val="00E158B6"/>
    <w:rsid w:val="00E16B38"/>
    <w:rsid w:val="00E32251"/>
    <w:rsid w:val="00E34246"/>
    <w:rsid w:val="00E43483"/>
    <w:rsid w:val="00E46EDF"/>
    <w:rsid w:val="00E65B8E"/>
    <w:rsid w:val="00EA4B01"/>
    <w:rsid w:val="00EB1018"/>
    <w:rsid w:val="00EB1DB8"/>
    <w:rsid w:val="00EB41C2"/>
    <w:rsid w:val="00EB4BD4"/>
    <w:rsid w:val="00EB6E71"/>
    <w:rsid w:val="00EC28A4"/>
    <w:rsid w:val="00ED4E16"/>
    <w:rsid w:val="00ED7678"/>
    <w:rsid w:val="00ED7D2E"/>
    <w:rsid w:val="00ED7F81"/>
    <w:rsid w:val="00EE63CC"/>
    <w:rsid w:val="00EF3CD7"/>
    <w:rsid w:val="00F063B5"/>
    <w:rsid w:val="00F1015D"/>
    <w:rsid w:val="00F10F4D"/>
    <w:rsid w:val="00F127BF"/>
    <w:rsid w:val="00F15CC8"/>
    <w:rsid w:val="00F43534"/>
    <w:rsid w:val="00F50298"/>
    <w:rsid w:val="00F61B57"/>
    <w:rsid w:val="00F65E22"/>
    <w:rsid w:val="00F67D99"/>
    <w:rsid w:val="00F709A3"/>
    <w:rsid w:val="00F73EAD"/>
    <w:rsid w:val="00F825B9"/>
    <w:rsid w:val="00F93089"/>
    <w:rsid w:val="00F95B18"/>
    <w:rsid w:val="00FB2926"/>
    <w:rsid w:val="00FC3C76"/>
    <w:rsid w:val="00FC6999"/>
    <w:rsid w:val="00FD758A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BEA0D"/>
  <w15:chartTrackingRefBased/>
  <w15:docId w15:val="{2F5ACD0E-B96D-4C26-BB10-8F87CCE1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1"/>
      <w:jc w:val="both"/>
      <w:outlineLvl w:val="0"/>
    </w:pPr>
    <w:rPr>
      <w:rFonts w:ascii="Courier New" w:hAnsi="Courier New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sz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b/>
      <w:sz w:val="26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napToGrid w:val="0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4">
    <w:name w:val="List Bullet 4"/>
    <w:basedOn w:val="Normal"/>
    <w:autoRedefine/>
    <w:pPr>
      <w:numPr>
        <w:numId w:val="1"/>
      </w:numPr>
    </w:pPr>
  </w:style>
  <w:style w:type="paragraph" w:customStyle="1" w:styleId="Pdeferimentodata">
    <w:name w:val="Pdeferimento + data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rFonts w:ascii="Courier New" w:hAnsi="Courier New"/>
      <w:sz w:val="26"/>
    </w:rPr>
  </w:style>
  <w:style w:type="paragraph" w:styleId="Recuodecorpodetexto2">
    <w:name w:val="Body Text Indent 2"/>
    <w:basedOn w:val="Normal"/>
    <w:pPr>
      <w:ind w:left="340" w:hanging="340"/>
      <w:jc w:val="both"/>
    </w:pPr>
    <w:rPr>
      <w:rFonts w:ascii="Courier New" w:hAnsi="Courier New"/>
      <w:sz w:val="26"/>
    </w:rPr>
  </w:style>
  <w:style w:type="paragraph" w:styleId="Corpodetexto2">
    <w:name w:val="Body Text 2"/>
    <w:basedOn w:val="Normal"/>
    <w:pPr>
      <w:jc w:val="both"/>
    </w:pPr>
    <w:rPr>
      <w:rFonts w:ascii="Courier New" w:hAnsi="Courier New"/>
      <w:sz w:val="26"/>
    </w:rPr>
  </w:style>
  <w:style w:type="paragraph" w:styleId="Corpodetexto">
    <w:name w:val="Body Text"/>
    <w:basedOn w:val="Listadecontinuao"/>
    <w:next w:val="Commarcadores4"/>
    <w:pPr>
      <w:ind w:left="284"/>
      <w:jc w:val="both"/>
      <w:outlineLvl w:val="8"/>
    </w:pPr>
    <w:rPr>
      <w:color w:val="00FF00"/>
      <w:sz w:val="14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Recuodecorpodetexto">
    <w:name w:val="Body Text Indent"/>
    <w:basedOn w:val="Normal"/>
    <w:pPr>
      <w:ind w:left="360" w:hanging="360"/>
      <w:jc w:val="both"/>
    </w:pPr>
    <w:rPr>
      <w:rFonts w:ascii="Courier New" w:hAnsi="Courier New"/>
      <w:sz w:val="26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elacomgrade">
    <w:name w:val="Table Grid"/>
    <w:basedOn w:val="Tabelanormal"/>
    <w:rsid w:val="0039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39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360F0"/>
    <w:pPr>
      <w:ind w:left="708"/>
    </w:pPr>
  </w:style>
  <w:style w:type="paragraph" w:styleId="Cabealho">
    <w:name w:val="header"/>
    <w:basedOn w:val="Normal"/>
    <w:link w:val="CabealhoChar"/>
    <w:rsid w:val="00543C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3C36"/>
  </w:style>
  <w:style w:type="paragraph" w:styleId="Rodap">
    <w:name w:val="footer"/>
    <w:basedOn w:val="Normal"/>
    <w:link w:val="RodapChar"/>
    <w:rsid w:val="00543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3C36"/>
  </w:style>
  <w:style w:type="paragraph" w:styleId="Textodebalo">
    <w:name w:val="Balloon Text"/>
    <w:basedOn w:val="Normal"/>
    <w:link w:val="TextodebaloChar"/>
    <w:semiHidden/>
    <w:unhideWhenUsed/>
    <w:rsid w:val="00543C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43C3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rsid w:val="00ED4E1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D4E16"/>
  </w:style>
  <w:style w:type="character" w:customStyle="1" w:styleId="TextodecomentrioChar">
    <w:name w:val="Texto de comentário Char"/>
    <w:basedOn w:val="Fontepargpadro"/>
    <w:link w:val="Textodecomentrio"/>
    <w:rsid w:val="00ED4E16"/>
  </w:style>
  <w:style w:type="paragraph" w:styleId="Assuntodocomentrio">
    <w:name w:val="annotation subject"/>
    <w:basedOn w:val="Textodecomentrio"/>
    <w:next w:val="Textodecomentrio"/>
    <w:link w:val="AssuntodocomentrioChar"/>
    <w:rsid w:val="00ED4E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D4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56">
          <w:marLeft w:val="10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15" ma:contentTypeDescription="Crie um novo documento." ma:contentTypeScope="" ma:versionID="63ff0ff898d52e774e4870ce8aa70461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b95cc6e8118aa2bde44c11cf55bf96fa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CFC7F1-33E7-4BB5-A6A0-EBC709C9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fdb7d1-170a-4b5e-ae52-1b23b97218a6"/>
    <ds:schemaRef ds:uri="7047844b-91cd-46c7-a54d-f5e048b0b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E94E7-E64D-4B67-9BE6-A73764A2B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86EFF-2A35-4279-B9A4-908291ADDC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CREDIMINAS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GEAUD</dc:creator>
  <cp:keywords/>
  <cp:lastModifiedBy>Ronald</cp:lastModifiedBy>
  <cp:revision>2</cp:revision>
  <cp:lastPrinted>2005-11-14T11:50:00Z</cp:lastPrinted>
  <dcterms:created xsi:type="dcterms:W3CDTF">2022-02-01T17:31:00Z</dcterms:created>
  <dcterms:modified xsi:type="dcterms:W3CDTF">2022-02-01T17:31:00Z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0x010100C1AF01D5B7A51C47BD387DFE884972FB</vt:lpwstr>
  </property>
  <property fmtid="{D5CDD505-2E9C-101B-9397-08002B2CF9AE}" pid="3" name="MSIP_Label_6459b2e0-2ec4-47e6-afc1-6e3f8b684f6a_Enabled">
    <vt:lpwstr>true</vt:lpwstr>
  </property>
  <property fmtid="{D5CDD505-2E9C-101B-9397-08002B2CF9AE}" pid="4" name="MSIP_Label_6459b2e0-2ec4-47e6-afc1-6e3f8b684f6a_SetDate">
    <vt:lpwstr>2021-08-16T23:42:35Z</vt:lpwstr>
  </property>
  <property fmtid="{D5CDD505-2E9C-101B-9397-08002B2CF9AE}" pid="5" name="MSIP_Label_6459b2e0-2ec4-47e6-afc1-6e3f8b684f6a_Method">
    <vt:lpwstr>Privileged</vt:lpwstr>
  </property>
  <property fmtid="{D5CDD505-2E9C-101B-9397-08002B2CF9AE}" pid="6" name="MSIP_Label_6459b2e0-2ec4-47e6-afc1-6e3f8b684f6a_Name">
    <vt:lpwstr>6459b2e0-2ec4-47e6-afc1-6e3f8b684f6a</vt:lpwstr>
  </property>
  <property fmtid="{D5CDD505-2E9C-101B-9397-08002B2CF9AE}" pid="7" name="MSIP_Label_6459b2e0-2ec4-47e6-afc1-6e3f8b684f6a_SiteId">
    <vt:lpwstr>b417b620-2ae9-4a83-ab6c-7fbd828bda1d</vt:lpwstr>
  </property>
  <property fmtid="{D5CDD505-2E9C-101B-9397-08002B2CF9AE}" pid="8" name="MSIP_Label_6459b2e0-2ec4-47e6-afc1-6e3f8b684f6a_ActionId">
    <vt:lpwstr>2dd164a1-8d9c-42cc-9912-00008191a30c</vt:lpwstr>
  </property>
  <property fmtid="{D5CDD505-2E9C-101B-9397-08002B2CF9AE}" pid="9" name="MSIP_Label_6459b2e0-2ec4-47e6-afc1-6e3f8b684f6a_ContentBits">
    <vt:lpwstr>0</vt:lpwstr>
  </property>
</Properties>
</file>