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 w:type="dxa"/>
        <w:tblCellSpacing w:w="0" w:type="dxa"/>
        <w:tblInd w:w="21600" w:type="dxa"/>
        <w:tblCellMar>
          <w:left w:w="0" w:type="dxa"/>
          <w:right w:w="0" w:type="dxa"/>
        </w:tblCellMar>
        <w:tblLook w:val="04A0" w:firstRow="1" w:lastRow="0" w:firstColumn="1" w:lastColumn="0" w:noHBand="0" w:noVBand="1"/>
      </w:tblPr>
      <w:tblGrid>
        <w:gridCol w:w="15"/>
      </w:tblGrid>
      <w:tr w:rsidR="00BA3275" w14:paraId="70B3A472" w14:textId="77777777">
        <w:trPr>
          <w:tblCellSpacing w:w="0" w:type="dxa"/>
        </w:trPr>
        <w:tc>
          <w:tcPr>
            <w:tcW w:w="0" w:type="auto"/>
            <w:vAlign w:val="center"/>
            <w:hideMark/>
          </w:tcPr>
          <w:p w14:paraId="24F5470E" w14:textId="77777777" w:rsidR="00BA3275" w:rsidRDefault="00000000">
            <w:pPr>
              <w:divId w:val="1326594528"/>
              <w:rPr>
                <w:rFonts w:ascii="Arial" w:eastAsia="Times New Roman" w:hAnsi="Arial" w:cs="Arial"/>
                <w:kern w:val="0"/>
                <w:sz w:val="20"/>
                <w:szCs w:val="20"/>
                <w14:ligatures w14:val="none"/>
              </w:rPr>
            </w:pPr>
            <w:r>
              <w:rPr>
                <w:rFonts w:ascii="Arial" w:eastAsia="Times New Roman" w:hAnsi="Arial" w:cs="Arial"/>
                <w:noProof/>
                <w:sz w:val="20"/>
                <w:szCs w:val="20"/>
              </w:rPr>
              <mc:AlternateContent>
                <mc:Choice Requires="wps">
                  <w:drawing>
                    <wp:anchor distT="0" distB="0" distL="114300" distR="114300" simplePos="0" relativeHeight="251659264" behindDoc="0" locked="0" layoutInCell="1" allowOverlap="1" wp14:anchorId="4AD0FC5E" wp14:editId="4E6E79E4">
                      <wp:simplePos x="0" y="0"/>
                      <wp:positionH relativeFrom="column">
                        <wp:posOffset>0</wp:posOffset>
                      </wp:positionH>
                      <wp:positionV relativeFrom="paragraph">
                        <wp:posOffset>0</wp:posOffset>
                      </wp:positionV>
                      <wp:extent cx="635000" cy="635000"/>
                      <wp:effectExtent l="0" t="0" r="3175" b="3175"/>
                      <wp:wrapNone/>
                      <wp:docPr id="616438148" name="AutoShape 102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D3E3B" id="AutoShape 1028"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mc:Fallback>
              </mc:AlternateContent>
            </w:r>
            <w:r>
              <w:rPr>
                <w:noProof/>
              </w:rPr>
              <mc:AlternateContent>
                <mc:Choice Requires="wps">
                  <w:drawing>
                    <wp:anchor distT="0" distB="0" distL="114300" distR="114300" simplePos="0" relativeHeight="251661312" behindDoc="1" locked="0" layoutInCell="1" allowOverlap="1" wp14:anchorId="7F46EE33" wp14:editId="5F2D1A94">
                      <wp:simplePos x="0" y="0"/>
                      <wp:positionH relativeFrom="column">
                        <wp:posOffset>0</wp:posOffset>
                      </wp:positionH>
                      <wp:positionV relativeFrom="paragraph">
                        <wp:posOffset>-5080000</wp:posOffset>
                      </wp:positionV>
                      <wp:extent cx="635000" cy="635000"/>
                      <wp:effectExtent l="0" t="0" r="3175" b="0"/>
                      <wp:wrapNone/>
                      <wp:docPr id="848213936"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1018A" id="Picture 1" o:spid="_x0000_s1026" alt="VHB" style="position:absolute;margin-left:0;margin-top:-400pt;width:50pt;height:5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filled="f" stroked="f">
                      <o:lock v:ext="edit" aspectratio="t"/>
                    </v:rect>
                  </w:pict>
                </mc:Fallback>
              </mc:AlternateContent>
            </w:r>
          </w:p>
        </w:tc>
      </w:tr>
    </w:tbl>
    <w:p w14:paraId="36B8AABE" w14:textId="73A86B22" w:rsidR="00BA3275" w:rsidRDefault="00000000">
      <w:pPr>
        <w:pStyle w:val="NormalWeb"/>
        <w:jc w:val="center"/>
      </w:pPr>
      <w:r>
        <w:rPr>
          <w:rFonts w:ascii="Arial" w:hAnsi="Arial" w:cs="Arial"/>
          <w:b/>
          <w:bCs/>
          <w:sz w:val="20"/>
          <w:szCs w:val="20"/>
        </w:rPr>
        <w:t xml:space="preserve">COOPERATIVA DE </w:t>
      </w:r>
      <w:r w:rsidR="002D60D3">
        <w:rPr>
          <w:rFonts w:ascii="Arial" w:hAnsi="Arial" w:cs="Arial"/>
          <w:b/>
          <w:bCs/>
          <w:sz w:val="20"/>
          <w:szCs w:val="20"/>
        </w:rPr>
        <w:t>CRÉDITO</w:t>
      </w:r>
      <w:r>
        <w:rPr>
          <w:rFonts w:ascii="Arial" w:hAnsi="Arial" w:cs="Arial"/>
          <w:b/>
          <w:bCs/>
          <w:sz w:val="20"/>
          <w:szCs w:val="20"/>
        </w:rPr>
        <w:t xml:space="preserve"> CREDISG LTDA. - SICOOB CREDISG</w:t>
      </w:r>
    </w:p>
    <w:p w14:paraId="657B0247" w14:textId="77777777" w:rsidR="00BA3275" w:rsidRDefault="00000000">
      <w:pPr>
        <w:pStyle w:val="NormalWeb"/>
        <w:jc w:val="center"/>
      </w:pPr>
      <w:r>
        <w:rPr>
          <w:rFonts w:ascii="Arial" w:hAnsi="Arial" w:cs="Arial"/>
          <w:b/>
          <w:bCs/>
          <w:sz w:val="20"/>
          <w:szCs w:val="20"/>
        </w:rPr>
        <w:t>NOTAS EXPLICATIVAS DA ADMINISTRAÇÃO ÀS DEMONSTRAÇÕES FINANCEIRAS PARA O PERÍODO FINDO EM 30 DE JUNHO DE 2025</w:t>
      </w:r>
    </w:p>
    <w:p w14:paraId="3B135408" w14:textId="74E6B81F" w:rsidR="00BA3275" w:rsidRDefault="00000000" w:rsidP="002D60D3">
      <w:pPr>
        <w:pStyle w:val="NormalWeb"/>
        <w:jc w:val="center"/>
      </w:pPr>
      <w:r>
        <w:rPr>
          <w:rFonts w:ascii="Arial" w:hAnsi="Arial" w:cs="Arial"/>
          <w:b/>
          <w:bCs/>
          <w:sz w:val="20"/>
          <w:szCs w:val="20"/>
        </w:rPr>
        <w:t>Em Reais (R$)</w:t>
      </w:r>
    </w:p>
    <w:p w14:paraId="6F8B8282" w14:textId="77777777" w:rsidR="00BA3275" w:rsidRDefault="00000000">
      <w:pPr>
        <w:pStyle w:val="NormalWeb"/>
      </w:pPr>
      <w:r>
        <w:rPr>
          <w:rFonts w:ascii="Arial" w:hAnsi="Arial" w:cs="Arial"/>
          <w:b/>
          <w:bCs/>
          <w:sz w:val="20"/>
          <w:szCs w:val="20"/>
        </w:rPr>
        <w:t>1. Contexto Operacional</w:t>
      </w:r>
    </w:p>
    <w:p w14:paraId="561A99A1" w14:textId="4301C4AB" w:rsidR="00BA3275" w:rsidRDefault="00000000" w:rsidP="002D60D3">
      <w:pPr>
        <w:pStyle w:val="NormalWeb"/>
        <w:jc w:val="both"/>
      </w:pPr>
      <w:r>
        <w:rPr>
          <w:rFonts w:ascii="Arial" w:hAnsi="Arial" w:cs="Arial"/>
          <w:sz w:val="20"/>
          <w:szCs w:val="20"/>
        </w:rPr>
        <w:t xml:space="preserve">A </w:t>
      </w:r>
      <w:r>
        <w:rPr>
          <w:rFonts w:ascii="Arial" w:hAnsi="Arial" w:cs="Arial"/>
          <w:b/>
          <w:bCs/>
          <w:sz w:val="20"/>
          <w:szCs w:val="20"/>
        </w:rPr>
        <w:t xml:space="preserve">COOPERATIVA DE </w:t>
      </w:r>
      <w:r w:rsidR="002D60D3">
        <w:rPr>
          <w:rFonts w:ascii="Arial" w:hAnsi="Arial" w:cs="Arial"/>
          <w:b/>
          <w:bCs/>
          <w:sz w:val="20"/>
          <w:szCs w:val="20"/>
        </w:rPr>
        <w:t>CRÉDITO</w:t>
      </w:r>
      <w:r>
        <w:rPr>
          <w:rFonts w:ascii="Arial" w:hAnsi="Arial" w:cs="Arial"/>
          <w:b/>
          <w:bCs/>
          <w:sz w:val="20"/>
          <w:szCs w:val="20"/>
        </w:rPr>
        <w:t xml:space="preserve"> CREDISG LTDA. - SICOOB CREDISG</w:t>
      </w:r>
      <w:r>
        <w:rPr>
          <w:rFonts w:ascii="Arial" w:hAnsi="Arial" w:cs="Arial"/>
          <w:sz w:val="20"/>
          <w:szCs w:val="20"/>
        </w:rPr>
        <w:t xml:space="preserve">, doravante denominado </w:t>
      </w:r>
      <w:r>
        <w:rPr>
          <w:rFonts w:ascii="Arial" w:hAnsi="Arial" w:cs="Arial"/>
          <w:b/>
          <w:bCs/>
          <w:sz w:val="20"/>
          <w:szCs w:val="20"/>
        </w:rPr>
        <w:t>SICOOB CREDISG</w:t>
      </w:r>
      <w:r>
        <w:rPr>
          <w:rFonts w:ascii="Arial" w:hAnsi="Arial" w:cs="Arial"/>
          <w:sz w:val="20"/>
          <w:szCs w:val="20"/>
        </w:rPr>
        <w:t xml:space="preserve">, é uma Cooperativa de Crédito Singular, instituição financeira não bancária, fundada em </w:t>
      </w:r>
      <w:r>
        <w:rPr>
          <w:rFonts w:ascii="Arial" w:hAnsi="Arial" w:cs="Arial"/>
          <w:b/>
          <w:bCs/>
          <w:sz w:val="20"/>
          <w:szCs w:val="20"/>
        </w:rPr>
        <w:t>30/09/1999</w:t>
      </w:r>
      <w:r>
        <w:rPr>
          <w:rFonts w:ascii="Arial" w:hAnsi="Arial" w:cs="Arial"/>
          <w:sz w:val="20"/>
          <w:szCs w:val="20"/>
        </w:rPr>
        <w:t xml:space="preserve">, filiada à </w:t>
      </w:r>
      <w:r w:rsidR="002D60D3" w:rsidRPr="002D60D3">
        <w:rPr>
          <w:rFonts w:ascii="Arial" w:hAnsi="Arial" w:cs="Arial"/>
          <w:b/>
          <w:bCs/>
          <w:sz w:val="20"/>
          <w:szCs w:val="20"/>
        </w:rPr>
        <w:t>COOPERATIVA CENTRAL DE CRÉDITO DE MINAS GERAIS LTDA - SICOOB CENTRAL CREDIMINAS</w:t>
      </w:r>
      <w:r>
        <w:rPr>
          <w:rFonts w:ascii="Arial" w:hAnsi="Arial" w:cs="Arial"/>
          <w:sz w:val="20"/>
          <w:szCs w:val="20"/>
        </w:rPr>
        <w:t xml:space="preserve"> e componente do </w:t>
      </w:r>
      <w:r>
        <w:rPr>
          <w:rFonts w:ascii="Arial" w:hAnsi="Arial" w:cs="Arial"/>
          <w:b/>
          <w:bCs/>
          <w:sz w:val="20"/>
          <w:szCs w:val="20"/>
        </w:rPr>
        <w:t>Sistema de Cooperativas de Crédito do Brasil - Sicoob</w:t>
      </w:r>
      <w:r>
        <w:rPr>
          <w:rFonts w:ascii="Arial" w:hAnsi="Arial" w:cs="Arial"/>
          <w:sz w:val="20"/>
          <w:szCs w:val="20"/>
        </w:rPr>
        <w:t xml:space="preserve">, em conjunto com outras Cooperativas Singulares e Centrais. Tem sua constituição e o funcionamento regulamentados pela Lei nº 4.595/1964, que dispõe sobre a </w:t>
      </w:r>
      <w:r>
        <w:rPr>
          <w:rFonts w:ascii="Arial" w:hAnsi="Arial" w:cs="Arial"/>
          <w:i/>
          <w:iCs/>
          <w:sz w:val="20"/>
          <w:szCs w:val="20"/>
        </w:rPr>
        <w:t>Política e as Instituições Monetárias, Bancárias e Creditícias</w:t>
      </w:r>
      <w:r>
        <w:rPr>
          <w:rFonts w:ascii="Arial" w:hAnsi="Arial" w:cs="Arial"/>
          <w:sz w:val="20"/>
          <w:szCs w:val="20"/>
        </w:rPr>
        <w:t xml:space="preserve">; pela Lei nº 5.764/1971, que define a </w:t>
      </w:r>
      <w:r>
        <w:rPr>
          <w:rFonts w:ascii="Arial" w:hAnsi="Arial" w:cs="Arial"/>
          <w:i/>
          <w:iCs/>
          <w:sz w:val="20"/>
          <w:szCs w:val="20"/>
        </w:rPr>
        <w:t>Política Nacional do Cooperativismo</w:t>
      </w:r>
      <w:r>
        <w:rPr>
          <w:rFonts w:ascii="Arial" w:hAnsi="Arial" w:cs="Arial"/>
          <w:sz w:val="20"/>
          <w:szCs w:val="20"/>
        </w:rPr>
        <w:t xml:space="preserve"> e institui o regime jurídico das sociedades Cooperativas; pela Lei Complementar nº 130/2009, alterada pela Lei Complementar nº 196/2022, que dispõe sobre o </w:t>
      </w:r>
      <w:r>
        <w:rPr>
          <w:rFonts w:ascii="Arial" w:hAnsi="Arial" w:cs="Arial"/>
          <w:i/>
          <w:iCs/>
          <w:sz w:val="20"/>
          <w:szCs w:val="20"/>
        </w:rPr>
        <w:t>Sistema Nacional de Crédito Cooperativo</w:t>
      </w:r>
      <w:r>
        <w:rPr>
          <w:rFonts w:ascii="Arial" w:hAnsi="Arial" w:cs="Arial"/>
          <w:sz w:val="20"/>
          <w:szCs w:val="20"/>
        </w:rPr>
        <w:t>; pela Resolução CMN nº 4.970/2021 e 5.051/2022, alterada pela Resolução CMN nº 5.131/2024, que dispõe sobre a constituição e o funcionamento de Cooperativas de Crédito e sobre os processos de autorização de funcionamento das instituições que especifica.</w:t>
      </w:r>
    </w:p>
    <w:p w14:paraId="5BC5C0CE" w14:textId="4AD78472" w:rsidR="00BA3275" w:rsidRDefault="006221D0">
      <w:pPr>
        <w:pStyle w:val="NormalWeb"/>
        <w:jc w:val="both"/>
      </w:pPr>
      <w:r w:rsidRPr="006221D0">
        <w:rPr>
          <w:rFonts w:ascii="Arial" w:hAnsi="Arial" w:cs="Arial"/>
          <w:sz w:val="20"/>
          <w:szCs w:val="20"/>
        </w:rPr>
        <w:t xml:space="preserve">O SICOOB CREDISG, sediado à </w:t>
      </w:r>
      <w:r w:rsidRPr="006221D0">
        <w:rPr>
          <w:rFonts w:ascii="Arial" w:hAnsi="Arial" w:cs="Arial"/>
          <w:b/>
          <w:bCs/>
          <w:sz w:val="20"/>
          <w:szCs w:val="20"/>
        </w:rPr>
        <w:t>AVENIDA RUI BARBOSA, N° 163, CENTRO, SÃO GOTARDO - MG</w:t>
      </w:r>
      <w:r w:rsidRPr="006221D0">
        <w:rPr>
          <w:rFonts w:ascii="Arial" w:hAnsi="Arial" w:cs="Arial"/>
          <w:sz w:val="20"/>
          <w:szCs w:val="20"/>
        </w:rPr>
        <w:t>, possui: 1 Postos de Atendimento (PA), na seguinte localidade: AV. HERMENEGILDO JOSE OLIVEIRA - 325, GUARDA DOS FERREIROS SÃO GOTARDO - MG, e 1 Posto de Atendimento Digital</w:t>
      </w:r>
      <w:r w:rsidR="00000000" w:rsidRPr="006221D0">
        <w:rPr>
          <w:rFonts w:ascii="Arial" w:hAnsi="Arial" w:cs="Arial"/>
          <w:sz w:val="20"/>
          <w:szCs w:val="20"/>
        </w:rPr>
        <w:t>.</w:t>
      </w:r>
    </w:p>
    <w:p w14:paraId="4C827B86" w14:textId="77777777" w:rsidR="00BA3275" w:rsidRDefault="00000000">
      <w:pPr>
        <w:pStyle w:val="NormalWeb"/>
        <w:jc w:val="both"/>
      </w:pPr>
      <w:r>
        <w:rPr>
          <w:rFonts w:ascii="Arial" w:hAnsi="Arial" w:cs="Arial"/>
          <w:sz w:val="20"/>
          <w:szCs w:val="20"/>
        </w:rPr>
        <w:t>O SICOOB CREDISG tem como atividade preponderante a operação na área creditícia e como finalidades:</w:t>
      </w:r>
    </w:p>
    <w:p w14:paraId="44C9919B" w14:textId="77777777" w:rsidR="00BA3275" w:rsidRDefault="00000000">
      <w:pPr>
        <w:pStyle w:val="NormalWeb"/>
        <w:jc w:val="both"/>
      </w:pPr>
      <w:r>
        <w:rPr>
          <w:rFonts w:ascii="Arial" w:hAnsi="Arial" w:cs="Arial"/>
          <w:sz w:val="20"/>
          <w:szCs w:val="20"/>
        </w:rPr>
        <w:t>(i) Proporcionar, por meio da mutualidade, assistência financeira aos associados;</w:t>
      </w:r>
    </w:p>
    <w:p w14:paraId="03E3BD8E" w14:textId="77777777" w:rsidR="00BA3275" w:rsidRDefault="00000000">
      <w:pPr>
        <w:pStyle w:val="NormalWeb"/>
        <w:jc w:val="both"/>
      </w:pPr>
      <w:r>
        <w:rPr>
          <w:rFonts w:ascii="Arial" w:hAnsi="Arial" w:cs="Arial"/>
          <w:sz w:val="20"/>
          <w:szCs w:val="20"/>
        </w:rPr>
        <w:t>(ii) Formar educacionalmente seus associados, no sentido de fomentar o cooperativismo, com a ajuda mútua da economia sistemática e o uso adequado do crédito; e</w:t>
      </w:r>
    </w:p>
    <w:p w14:paraId="52EBA6AF" w14:textId="77777777" w:rsidR="00BA3275" w:rsidRDefault="00000000">
      <w:pPr>
        <w:pStyle w:val="NormalWeb"/>
        <w:jc w:val="both"/>
      </w:pPr>
      <w:r>
        <w:rPr>
          <w:rFonts w:ascii="Arial" w:hAnsi="Arial" w:cs="Arial"/>
          <w:sz w:val="20"/>
          <w:szCs w:val="20"/>
        </w:rPr>
        <w:t>(iii) Praticar, nos termos dos normativos vigentes, as seguintes operações, entre outras: captação de recursos; concessão de créditos; prestação de garantias; prestação de serviços; formalização de convênios com outras instituições financeiras; e aplicação de recursos no mercado financeiro, incluindo depósitos a prazo com ou sem emissão de certificado, visando preservar o poder de compra da moeda e remunerar os recursos.</w:t>
      </w:r>
    </w:p>
    <w:p w14:paraId="356666F5" w14:textId="77777777" w:rsidR="00BA3275" w:rsidRDefault="00000000">
      <w:pPr>
        <w:pStyle w:val="NormalWeb"/>
      </w:pPr>
      <w:r>
        <w:rPr>
          <w:rFonts w:ascii="Arial" w:hAnsi="Arial" w:cs="Arial"/>
          <w:b/>
          <w:bCs/>
          <w:sz w:val="20"/>
          <w:szCs w:val="20"/>
        </w:rPr>
        <w:t>2. Apresentação das Demonstrações Financeiras</w:t>
      </w:r>
    </w:p>
    <w:p w14:paraId="3488A79C" w14:textId="77777777" w:rsidR="00BA3275" w:rsidRDefault="00000000">
      <w:pPr>
        <w:pStyle w:val="NormalWeb"/>
        <w:jc w:val="both"/>
      </w:pPr>
      <w:r>
        <w:rPr>
          <w:rFonts w:ascii="Arial" w:hAnsi="Arial" w:cs="Arial"/>
          <w:sz w:val="20"/>
          <w:szCs w:val="20"/>
        </w:rPr>
        <w:t>a) Declaração de conformidade</w:t>
      </w:r>
    </w:p>
    <w:p w14:paraId="7992E702" w14:textId="77777777" w:rsidR="00BA3275" w:rsidRDefault="00000000">
      <w:pPr>
        <w:pStyle w:val="NormalWeb"/>
        <w:jc w:val="both"/>
      </w:pPr>
      <w:r>
        <w:rPr>
          <w:rFonts w:ascii="Arial" w:hAnsi="Arial" w:cs="Arial"/>
          <w:sz w:val="20"/>
          <w:szCs w:val="20"/>
        </w:rPr>
        <w:t>As demonstrações financeiras foram elaboradas de acordo com as práticas contábeis adotadas no Brasil e aplicáveis às instituições financeiras autorizadas a funcionar pelo Banco Central do Brasil – BCB. Estão apresentadas em conformidade com as diretrizes da Lei nº 6.404/1976, que regulamenta as sociedades por ações, bem como as alterações introduzidas pelas legislações subsequentes, como a Lei nº 11.638/2007, que trouxe importantes modificações em relação à estruturação das projeções financeiras, e a Lei nº 11.941/2009, que aprimorou a transparência e a relevância das informações contábeis.</w:t>
      </w:r>
    </w:p>
    <w:p w14:paraId="13B521AE" w14:textId="77777777" w:rsidR="00BA3275" w:rsidRDefault="00000000">
      <w:pPr>
        <w:pStyle w:val="NormalWeb"/>
        <w:jc w:val="both"/>
      </w:pPr>
      <w:r>
        <w:rPr>
          <w:rFonts w:ascii="Arial" w:hAnsi="Arial" w:cs="Arial"/>
          <w:sz w:val="20"/>
          <w:szCs w:val="20"/>
        </w:rPr>
        <w:t>Adicionalmente, foram levadas em consideração as normas regulamentares constantes no Plano Contábil das Instituições do Sistema Financeiro Nacional – COSIF, os Pronunciamentos Contábeis homologados pelo BCB e a legislação aplicada às cooperativas de crédito, especialmente às disposições das Leis nº 4.595/64 e nº 5.764/71, com alterações pela Lei Complementar nº 130/09 e 196/22. Também foram observadas a Resolução CMN nº 4.818/2020, que estabelece diretrizes contábeis, e suas alterações subsequentes, a Resolução nº 5.185/2024 e a Resolução CMN nº 4.924/2021, alteradas pela Resolução CMN nº 5.116/2024. Por fim, foram consideradas as diretrizes da Resolução BCB nº 2/2020, atualizada pela Resolução BCB nº 367/2024.</w:t>
      </w:r>
    </w:p>
    <w:p w14:paraId="26D9BDB2" w14:textId="63FFD178" w:rsidR="00BA3275" w:rsidRDefault="00000000">
      <w:pPr>
        <w:pStyle w:val="NormalWeb"/>
        <w:jc w:val="both"/>
      </w:pPr>
      <w:r>
        <w:rPr>
          <w:rFonts w:ascii="Arial" w:hAnsi="Arial" w:cs="Arial"/>
          <w:sz w:val="20"/>
          <w:szCs w:val="20"/>
        </w:rPr>
        <w:lastRenderedPageBreak/>
        <w:t xml:space="preserve">As demonstrações financeiras, incluindo as notas explicativas, são de responsabilidade da Administração da Cooperativa, e sua aprovação foi concedida </w:t>
      </w:r>
      <w:r w:rsidRPr="006221D0">
        <w:rPr>
          <w:rFonts w:ascii="Arial" w:hAnsi="Arial" w:cs="Arial"/>
          <w:sz w:val="20"/>
          <w:szCs w:val="20"/>
        </w:rPr>
        <w:t xml:space="preserve">em </w:t>
      </w:r>
      <w:r w:rsidR="006221D0" w:rsidRPr="006221D0">
        <w:rPr>
          <w:rFonts w:ascii="Arial" w:hAnsi="Arial" w:cs="Arial"/>
          <w:sz w:val="20"/>
          <w:szCs w:val="20"/>
        </w:rPr>
        <w:t>15/09/2025</w:t>
      </w:r>
      <w:r w:rsidRPr="006221D0">
        <w:rPr>
          <w:rFonts w:ascii="Arial" w:hAnsi="Arial" w:cs="Arial"/>
          <w:sz w:val="20"/>
          <w:szCs w:val="20"/>
        </w:rPr>
        <w:t>.</w:t>
      </w:r>
    </w:p>
    <w:p w14:paraId="0A4F12F6" w14:textId="77777777" w:rsidR="00BA3275" w:rsidRDefault="00000000">
      <w:pPr>
        <w:pStyle w:val="NormalWeb"/>
        <w:jc w:val="both"/>
      </w:pPr>
      <w:r>
        <w:rPr>
          <w:rFonts w:ascii="Arial" w:hAnsi="Arial" w:cs="Arial"/>
          <w:sz w:val="20"/>
          <w:szCs w:val="20"/>
        </w:rPr>
        <w:t>b) Convergência às normas internacionais de contabilidade</w:t>
      </w:r>
    </w:p>
    <w:p w14:paraId="16970AD0" w14:textId="77777777" w:rsidR="00BA3275" w:rsidRDefault="00000000">
      <w:pPr>
        <w:pStyle w:val="NormalWeb"/>
        <w:jc w:val="both"/>
      </w:pPr>
      <w:r>
        <w:rPr>
          <w:rFonts w:ascii="Arial" w:hAnsi="Arial" w:cs="Arial"/>
          <w:sz w:val="20"/>
          <w:szCs w:val="20"/>
        </w:rPr>
        <w:t>Em função do processo de convergência com as normas internacionais de contabilidade, novas normas e interpretações foram emitidas pelo Comitê de Pronunciamentos Contábeis - CPC, as quais são aplicáveis às instituições financeiras somente quando aprovadas pelo BCB, naquilo que não confrontar com as normas por ele emitidas anteriormente, conforme a tabela a seguir apresenta as normas recepcionadas:</w:t>
      </w:r>
    </w:p>
    <w:tbl>
      <w:tblPr>
        <w:tblW w:w="5000" w:type="pct"/>
        <w:tblCellMar>
          <w:left w:w="0" w:type="dxa"/>
          <w:right w:w="0" w:type="dxa"/>
        </w:tblCellMar>
        <w:tblLook w:val="04A0" w:firstRow="1" w:lastRow="0" w:firstColumn="1" w:lastColumn="0" w:noHBand="0" w:noVBand="1"/>
      </w:tblPr>
      <w:tblGrid>
        <w:gridCol w:w="6813"/>
        <w:gridCol w:w="2809"/>
      </w:tblGrid>
      <w:tr w:rsidR="00BA3275" w14:paraId="5256766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B867DD1" w14:textId="77777777" w:rsidR="00BA3275" w:rsidRDefault="00000000">
            <w:pPr>
              <w:jc w:val="center"/>
              <w:rPr>
                <w:rFonts w:eastAsia="Times New Roman"/>
              </w:rPr>
            </w:pPr>
            <w:r>
              <w:rPr>
                <w:rFonts w:ascii="Arial" w:eastAsia="Times New Roman" w:hAnsi="Arial" w:cs="Arial"/>
                <w:b/>
                <w:bCs/>
                <w:sz w:val="16"/>
                <w:szCs w:val="16"/>
              </w:rPr>
              <w:t>Pronunciamentos CPC</w:t>
            </w:r>
          </w:p>
        </w:tc>
        <w:tc>
          <w:tcPr>
            <w:tcW w:w="0" w:type="auto"/>
            <w:tcBorders>
              <w:top w:val="outset" w:sz="6" w:space="0" w:color="auto"/>
              <w:left w:val="outset" w:sz="6" w:space="0" w:color="auto"/>
              <w:bottom w:val="outset" w:sz="6" w:space="0" w:color="auto"/>
              <w:right w:val="outset" w:sz="6" w:space="0" w:color="auto"/>
            </w:tcBorders>
            <w:vAlign w:val="center"/>
            <w:hideMark/>
          </w:tcPr>
          <w:p w14:paraId="319593DE" w14:textId="77777777" w:rsidR="00BA3275" w:rsidRDefault="00000000">
            <w:pPr>
              <w:jc w:val="center"/>
              <w:rPr>
                <w:rFonts w:eastAsia="Times New Roman"/>
              </w:rPr>
            </w:pPr>
            <w:r>
              <w:rPr>
                <w:rFonts w:ascii="Arial" w:eastAsia="Times New Roman" w:hAnsi="Arial" w:cs="Arial"/>
                <w:b/>
                <w:bCs/>
                <w:sz w:val="16"/>
                <w:szCs w:val="16"/>
              </w:rPr>
              <w:t>Resolução CMN</w:t>
            </w:r>
          </w:p>
        </w:tc>
      </w:tr>
      <w:tr w:rsidR="00BA3275" w14:paraId="5543864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A0A1813" w14:textId="77777777" w:rsidR="00BA3275" w:rsidRDefault="00000000">
            <w:pPr>
              <w:rPr>
                <w:rFonts w:eastAsia="Times New Roman"/>
              </w:rPr>
            </w:pPr>
            <w:r>
              <w:rPr>
                <w:rFonts w:ascii="Arial" w:eastAsia="Times New Roman" w:hAnsi="Arial" w:cs="Arial"/>
                <w:sz w:val="16"/>
                <w:szCs w:val="16"/>
              </w:rPr>
              <w:t>CPC 00 (R2) - Estrutura Conceitual para Relatório Financeiro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A80FF" w14:textId="77777777" w:rsidR="00BA3275" w:rsidRDefault="00000000">
            <w:pPr>
              <w:rPr>
                <w:rFonts w:eastAsia="Times New Roman"/>
              </w:rPr>
            </w:pPr>
            <w:r>
              <w:rPr>
                <w:rFonts w:ascii="Arial" w:eastAsia="Times New Roman" w:hAnsi="Arial" w:cs="Arial"/>
                <w:sz w:val="16"/>
                <w:szCs w:val="16"/>
              </w:rPr>
              <w:t>Resolução CMN nº 4.924/2021</w:t>
            </w:r>
          </w:p>
        </w:tc>
      </w:tr>
      <w:tr w:rsidR="00BA3275" w14:paraId="5561C26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A837B95" w14:textId="77777777" w:rsidR="00BA3275" w:rsidRDefault="00000000">
            <w:pPr>
              <w:rPr>
                <w:rFonts w:eastAsia="Times New Roman"/>
              </w:rPr>
            </w:pPr>
            <w:r>
              <w:rPr>
                <w:rFonts w:ascii="Arial" w:eastAsia="Times New Roman" w:hAnsi="Arial" w:cs="Arial"/>
                <w:sz w:val="16"/>
                <w:szCs w:val="16"/>
              </w:rPr>
              <w:t>CPC 01 (R1) - Redução ao Valor Recuperável de Ativos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128CD88" w14:textId="77777777" w:rsidR="00BA3275" w:rsidRDefault="00000000">
            <w:pPr>
              <w:rPr>
                <w:rFonts w:eastAsia="Times New Roman"/>
              </w:rPr>
            </w:pPr>
            <w:r>
              <w:rPr>
                <w:rFonts w:ascii="Arial" w:eastAsia="Times New Roman" w:hAnsi="Arial" w:cs="Arial"/>
                <w:sz w:val="16"/>
                <w:szCs w:val="16"/>
              </w:rPr>
              <w:t>Resolução CMN nº 4.924/2021</w:t>
            </w:r>
          </w:p>
        </w:tc>
      </w:tr>
      <w:tr w:rsidR="00BA3275" w14:paraId="492B2F2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26BEE1E" w14:textId="77777777" w:rsidR="00BA3275" w:rsidRDefault="00000000">
            <w:pPr>
              <w:rPr>
                <w:rFonts w:eastAsia="Times New Roman"/>
              </w:rPr>
            </w:pPr>
            <w:r>
              <w:rPr>
                <w:rFonts w:ascii="Arial" w:eastAsia="Times New Roman" w:hAnsi="Arial" w:cs="Arial"/>
                <w:sz w:val="16"/>
                <w:szCs w:val="16"/>
              </w:rPr>
              <w:t>CPC 03 (R2) - Demonstração dos Fluxos de Caixa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219AC2AD" w14:textId="77777777" w:rsidR="00BA3275" w:rsidRDefault="00000000">
            <w:pPr>
              <w:rPr>
                <w:rFonts w:eastAsia="Times New Roman"/>
              </w:rPr>
            </w:pPr>
            <w:r>
              <w:rPr>
                <w:rFonts w:ascii="Arial" w:eastAsia="Times New Roman" w:hAnsi="Arial" w:cs="Arial"/>
                <w:sz w:val="16"/>
                <w:szCs w:val="16"/>
              </w:rPr>
              <w:t>Resolução CMN nº 4.818/2020</w:t>
            </w:r>
          </w:p>
        </w:tc>
      </w:tr>
      <w:tr w:rsidR="00BA3275" w14:paraId="1BDDAF9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8BCCFE0" w14:textId="77777777" w:rsidR="00BA3275" w:rsidRDefault="00000000">
            <w:pPr>
              <w:rPr>
                <w:rFonts w:eastAsia="Times New Roman"/>
              </w:rPr>
            </w:pPr>
            <w:r>
              <w:rPr>
                <w:rFonts w:ascii="Arial" w:eastAsia="Times New Roman" w:hAnsi="Arial" w:cs="Arial"/>
                <w:sz w:val="16"/>
                <w:szCs w:val="16"/>
              </w:rPr>
              <w:t>CPC 04 (R1) – Ativo Intangível</w:t>
            </w:r>
          </w:p>
        </w:tc>
        <w:tc>
          <w:tcPr>
            <w:tcW w:w="0" w:type="auto"/>
            <w:tcBorders>
              <w:top w:val="outset" w:sz="6" w:space="0" w:color="auto"/>
              <w:left w:val="outset" w:sz="6" w:space="0" w:color="auto"/>
              <w:bottom w:val="outset" w:sz="6" w:space="0" w:color="auto"/>
              <w:right w:val="outset" w:sz="6" w:space="0" w:color="auto"/>
            </w:tcBorders>
            <w:vAlign w:val="center"/>
            <w:hideMark/>
          </w:tcPr>
          <w:p w14:paraId="1E7F7CA6" w14:textId="77777777" w:rsidR="00BA3275" w:rsidRDefault="00000000">
            <w:pPr>
              <w:rPr>
                <w:rFonts w:eastAsia="Times New Roman"/>
              </w:rPr>
            </w:pPr>
            <w:r>
              <w:rPr>
                <w:rFonts w:ascii="Arial" w:eastAsia="Times New Roman" w:hAnsi="Arial" w:cs="Arial"/>
                <w:sz w:val="16"/>
                <w:szCs w:val="16"/>
              </w:rPr>
              <w:t>Resolução CMN nº 4.534/2016</w:t>
            </w:r>
          </w:p>
        </w:tc>
      </w:tr>
      <w:tr w:rsidR="00BA3275" w14:paraId="5013B54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2A6120B" w14:textId="77777777" w:rsidR="00BA3275" w:rsidRDefault="00000000">
            <w:pPr>
              <w:rPr>
                <w:rFonts w:eastAsia="Times New Roman"/>
              </w:rPr>
            </w:pPr>
            <w:r>
              <w:rPr>
                <w:rFonts w:ascii="Arial" w:eastAsia="Times New Roman" w:hAnsi="Arial" w:cs="Arial"/>
                <w:sz w:val="16"/>
                <w:szCs w:val="16"/>
              </w:rPr>
              <w:t>CPC 05 (R1) - Divulgação sobre Partes Relacionadas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EEFD5" w14:textId="77777777" w:rsidR="00BA3275" w:rsidRDefault="00000000">
            <w:pPr>
              <w:rPr>
                <w:rFonts w:eastAsia="Times New Roman"/>
              </w:rPr>
            </w:pPr>
            <w:r>
              <w:rPr>
                <w:rFonts w:ascii="Arial" w:eastAsia="Times New Roman" w:hAnsi="Arial" w:cs="Arial"/>
                <w:sz w:val="16"/>
                <w:szCs w:val="16"/>
              </w:rPr>
              <w:t>Resolução CMN nº 4.818/2020</w:t>
            </w:r>
          </w:p>
        </w:tc>
      </w:tr>
      <w:tr w:rsidR="00BA3275" w14:paraId="4B4C835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F1EBBD7" w14:textId="77777777" w:rsidR="00BA3275" w:rsidRDefault="00000000">
            <w:pPr>
              <w:rPr>
                <w:rFonts w:eastAsia="Times New Roman"/>
              </w:rPr>
            </w:pPr>
            <w:r>
              <w:rPr>
                <w:rFonts w:ascii="Arial" w:eastAsia="Times New Roman" w:hAnsi="Arial" w:cs="Arial"/>
                <w:sz w:val="16"/>
                <w:szCs w:val="16"/>
              </w:rPr>
              <w:t>CPC 06 (R2) - Operações de Arrendamento Mercantil</w:t>
            </w:r>
          </w:p>
        </w:tc>
        <w:tc>
          <w:tcPr>
            <w:tcW w:w="0" w:type="auto"/>
            <w:tcBorders>
              <w:top w:val="outset" w:sz="6" w:space="0" w:color="auto"/>
              <w:left w:val="outset" w:sz="6" w:space="0" w:color="auto"/>
              <w:bottom w:val="outset" w:sz="6" w:space="0" w:color="auto"/>
              <w:right w:val="outset" w:sz="6" w:space="0" w:color="auto"/>
            </w:tcBorders>
            <w:vAlign w:val="center"/>
            <w:hideMark/>
          </w:tcPr>
          <w:p w14:paraId="7918E66B" w14:textId="77777777" w:rsidR="00BA3275" w:rsidRDefault="00000000">
            <w:pPr>
              <w:rPr>
                <w:rFonts w:eastAsia="Times New Roman"/>
              </w:rPr>
            </w:pPr>
            <w:r>
              <w:rPr>
                <w:rFonts w:ascii="Arial" w:eastAsia="Times New Roman" w:hAnsi="Arial" w:cs="Arial"/>
                <w:sz w:val="16"/>
                <w:szCs w:val="16"/>
              </w:rPr>
              <w:t>Resolução CMN nº 4.975/2021</w:t>
            </w:r>
          </w:p>
        </w:tc>
      </w:tr>
      <w:tr w:rsidR="00BA3275" w14:paraId="29F5A1A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1588796" w14:textId="77777777" w:rsidR="00BA3275" w:rsidRDefault="00000000">
            <w:pPr>
              <w:rPr>
                <w:rFonts w:eastAsia="Times New Roman"/>
              </w:rPr>
            </w:pPr>
            <w:r>
              <w:rPr>
                <w:rFonts w:ascii="Arial" w:eastAsia="Times New Roman" w:hAnsi="Arial" w:cs="Arial"/>
                <w:sz w:val="16"/>
                <w:szCs w:val="16"/>
              </w:rPr>
              <w:t>CPC 10 (R1) - Pagamento Baseado em 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C56688C" w14:textId="77777777" w:rsidR="00BA3275" w:rsidRDefault="00000000">
            <w:pPr>
              <w:rPr>
                <w:rFonts w:eastAsia="Times New Roman"/>
              </w:rPr>
            </w:pPr>
            <w:r>
              <w:rPr>
                <w:rFonts w:ascii="Arial" w:eastAsia="Times New Roman" w:hAnsi="Arial" w:cs="Arial"/>
                <w:sz w:val="16"/>
                <w:szCs w:val="16"/>
              </w:rPr>
              <w:t>Resolução CMN nº 3.989/2011</w:t>
            </w:r>
          </w:p>
        </w:tc>
      </w:tr>
      <w:tr w:rsidR="00BA3275" w14:paraId="6F9AD07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F47082A" w14:textId="77777777" w:rsidR="00BA3275" w:rsidRDefault="00000000">
            <w:pPr>
              <w:rPr>
                <w:rFonts w:eastAsia="Times New Roman"/>
              </w:rPr>
            </w:pPr>
            <w:r>
              <w:rPr>
                <w:rFonts w:ascii="Arial" w:eastAsia="Times New Roman" w:hAnsi="Arial" w:cs="Arial"/>
                <w:sz w:val="16"/>
                <w:szCs w:val="16"/>
              </w:rPr>
              <w:t>CPC 23 - Políticas Contábeis, Mudança de Estimativa e Retificação de Erro</w:t>
            </w:r>
          </w:p>
        </w:tc>
        <w:tc>
          <w:tcPr>
            <w:tcW w:w="0" w:type="auto"/>
            <w:tcBorders>
              <w:top w:val="outset" w:sz="6" w:space="0" w:color="auto"/>
              <w:left w:val="outset" w:sz="6" w:space="0" w:color="auto"/>
              <w:bottom w:val="outset" w:sz="6" w:space="0" w:color="auto"/>
              <w:right w:val="outset" w:sz="6" w:space="0" w:color="auto"/>
            </w:tcBorders>
            <w:vAlign w:val="center"/>
            <w:hideMark/>
          </w:tcPr>
          <w:p w14:paraId="73110933" w14:textId="77777777" w:rsidR="00BA3275" w:rsidRDefault="00000000">
            <w:pPr>
              <w:rPr>
                <w:rFonts w:eastAsia="Times New Roman"/>
              </w:rPr>
            </w:pPr>
            <w:r>
              <w:rPr>
                <w:rFonts w:ascii="Arial" w:eastAsia="Times New Roman" w:hAnsi="Arial" w:cs="Arial"/>
                <w:sz w:val="16"/>
                <w:szCs w:val="16"/>
              </w:rPr>
              <w:t>Resolução CMN nº 4.924/2021</w:t>
            </w:r>
          </w:p>
        </w:tc>
      </w:tr>
      <w:tr w:rsidR="00BA3275" w14:paraId="7909039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13CC857" w14:textId="77777777" w:rsidR="00BA3275" w:rsidRDefault="00000000">
            <w:pPr>
              <w:rPr>
                <w:rFonts w:eastAsia="Times New Roman"/>
              </w:rPr>
            </w:pPr>
            <w:r>
              <w:rPr>
                <w:rFonts w:ascii="Arial" w:eastAsia="Times New Roman" w:hAnsi="Arial" w:cs="Arial"/>
                <w:sz w:val="16"/>
                <w:szCs w:val="16"/>
              </w:rPr>
              <w:t>CPC 24 - Evento Subsequente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E7A5D" w14:textId="77777777" w:rsidR="00BA3275" w:rsidRDefault="00000000">
            <w:pPr>
              <w:rPr>
                <w:rFonts w:eastAsia="Times New Roman"/>
              </w:rPr>
            </w:pPr>
            <w:r>
              <w:rPr>
                <w:rFonts w:ascii="Arial" w:eastAsia="Times New Roman" w:hAnsi="Arial" w:cs="Arial"/>
                <w:sz w:val="16"/>
                <w:szCs w:val="16"/>
              </w:rPr>
              <w:t>Resolução CMN nº 4.818/2020</w:t>
            </w:r>
          </w:p>
        </w:tc>
      </w:tr>
      <w:tr w:rsidR="00BA3275" w14:paraId="7322148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9DAE44F" w14:textId="77777777" w:rsidR="00BA3275" w:rsidRDefault="00000000">
            <w:pPr>
              <w:rPr>
                <w:rFonts w:eastAsia="Times New Roman"/>
              </w:rPr>
            </w:pPr>
            <w:r>
              <w:rPr>
                <w:rFonts w:ascii="Arial" w:eastAsia="Times New Roman" w:hAnsi="Arial" w:cs="Arial"/>
                <w:sz w:val="16"/>
                <w:szCs w:val="16"/>
              </w:rPr>
              <w:t>CPC 25 - Provisões, Passivos Contingentes e Ativos Contingentes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D7596AD" w14:textId="77777777" w:rsidR="00BA3275" w:rsidRDefault="00000000">
            <w:pPr>
              <w:rPr>
                <w:rFonts w:eastAsia="Times New Roman"/>
              </w:rPr>
            </w:pPr>
            <w:r>
              <w:rPr>
                <w:rFonts w:ascii="Arial" w:eastAsia="Times New Roman" w:hAnsi="Arial" w:cs="Arial"/>
                <w:sz w:val="16"/>
                <w:szCs w:val="16"/>
              </w:rPr>
              <w:t>Resolução CMN nº 3.823/2009</w:t>
            </w:r>
          </w:p>
        </w:tc>
      </w:tr>
      <w:tr w:rsidR="00BA3275" w14:paraId="6FE7809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D7998C3" w14:textId="77777777" w:rsidR="00BA3275" w:rsidRDefault="00000000">
            <w:pPr>
              <w:rPr>
                <w:rFonts w:eastAsia="Times New Roman"/>
              </w:rPr>
            </w:pPr>
            <w:r>
              <w:rPr>
                <w:rFonts w:ascii="Arial" w:eastAsia="Times New Roman" w:hAnsi="Arial" w:cs="Arial"/>
                <w:sz w:val="16"/>
                <w:szCs w:val="16"/>
              </w:rPr>
              <w:t>CPC 27 - Ativo Imobilizado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3CE67371" w14:textId="77777777" w:rsidR="00BA3275" w:rsidRDefault="00000000">
            <w:pPr>
              <w:rPr>
                <w:rFonts w:eastAsia="Times New Roman"/>
              </w:rPr>
            </w:pPr>
            <w:r>
              <w:rPr>
                <w:rFonts w:ascii="Arial" w:eastAsia="Times New Roman" w:hAnsi="Arial" w:cs="Arial"/>
                <w:sz w:val="16"/>
                <w:szCs w:val="16"/>
              </w:rPr>
              <w:t>Resolução CMN nº 4.535/2016</w:t>
            </w:r>
          </w:p>
        </w:tc>
      </w:tr>
      <w:tr w:rsidR="00BA3275" w14:paraId="163F016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F3D89E3" w14:textId="77777777" w:rsidR="00BA3275" w:rsidRDefault="00000000">
            <w:pPr>
              <w:rPr>
                <w:rFonts w:eastAsia="Times New Roman"/>
              </w:rPr>
            </w:pPr>
            <w:r>
              <w:rPr>
                <w:rFonts w:ascii="Arial" w:eastAsia="Times New Roman" w:hAnsi="Arial" w:cs="Arial"/>
                <w:sz w:val="16"/>
                <w:szCs w:val="16"/>
              </w:rPr>
              <w:t>CPC 28 - Propriedade para investimento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6DF7959" w14:textId="77777777" w:rsidR="00BA3275" w:rsidRDefault="00000000">
            <w:pPr>
              <w:rPr>
                <w:rFonts w:eastAsia="Times New Roman"/>
              </w:rPr>
            </w:pPr>
            <w:r>
              <w:rPr>
                <w:rFonts w:ascii="Arial" w:eastAsia="Times New Roman" w:hAnsi="Arial" w:cs="Arial"/>
                <w:sz w:val="16"/>
                <w:szCs w:val="16"/>
              </w:rPr>
              <w:t>Resolução CMN nº 4.967/2021</w:t>
            </w:r>
          </w:p>
        </w:tc>
      </w:tr>
      <w:tr w:rsidR="00BA3275" w14:paraId="2885E4B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A26B859" w14:textId="77777777" w:rsidR="00BA3275" w:rsidRDefault="00000000">
            <w:pPr>
              <w:rPr>
                <w:rFonts w:eastAsia="Times New Roman"/>
              </w:rPr>
            </w:pPr>
            <w:r>
              <w:rPr>
                <w:rFonts w:ascii="Arial" w:eastAsia="Times New Roman" w:hAnsi="Arial" w:cs="Arial"/>
                <w:sz w:val="16"/>
                <w:szCs w:val="16"/>
              </w:rPr>
              <w:t>CPC 33 (R1) - Benefícios a Empregados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AEA94" w14:textId="77777777" w:rsidR="00BA3275" w:rsidRDefault="00000000">
            <w:pPr>
              <w:rPr>
                <w:rFonts w:eastAsia="Times New Roman"/>
              </w:rPr>
            </w:pPr>
            <w:r>
              <w:rPr>
                <w:rFonts w:ascii="Arial" w:eastAsia="Times New Roman" w:hAnsi="Arial" w:cs="Arial"/>
                <w:sz w:val="16"/>
                <w:szCs w:val="16"/>
              </w:rPr>
              <w:t>Resolução CMN nº 4.877/2020</w:t>
            </w:r>
          </w:p>
        </w:tc>
      </w:tr>
      <w:tr w:rsidR="00BA3275" w14:paraId="30635FD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3A5109C" w14:textId="77777777" w:rsidR="00BA3275" w:rsidRDefault="00000000">
            <w:pPr>
              <w:rPr>
                <w:rFonts w:eastAsia="Times New Roman"/>
              </w:rPr>
            </w:pPr>
            <w:r>
              <w:rPr>
                <w:rFonts w:ascii="Arial" w:eastAsia="Times New Roman" w:hAnsi="Arial" w:cs="Arial"/>
                <w:sz w:val="16"/>
                <w:szCs w:val="16"/>
              </w:rPr>
              <w:t>CPC 41 - Resultado por 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E7B045E" w14:textId="77777777" w:rsidR="00BA3275" w:rsidRDefault="00000000">
            <w:pPr>
              <w:rPr>
                <w:rFonts w:eastAsia="Times New Roman"/>
              </w:rPr>
            </w:pPr>
            <w:r>
              <w:rPr>
                <w:rFonts w:ascii="Arial" w:eastAsia="Times New Roman" w:hAnsi="Arial" w:cs="Arial"/>
                <w:sz w:val="16"/>
                <w:szCs w:val="16"/>
              </w:rPr>
              <w:t>Resolução CMN nº 4.818/2020</w:t>
            </w:r>
          </w:p>
        </w:tc>
      </w:tr>
      <w:tr w:rsidR="00BA3275" w14:paraId="7E5D9C8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F6199B1" w14:textId="77777777" w:rsidR="00BA3275" w:rsidRDefault="00000000">
            <w:pPr>
              <w:rPr>
                <w:rFonts w:eastAsia="Times New Roman"/>
              </w:rPr>
            </w:pPr>
            <w:r>
              <w:rPr>
                <w:rFonts w:ascii="Arial" w:eastAsia="Times New Roman" w:hAnsi="Arial" w:cs="Arial"/>
                <w:sz w:val="16"/>
                <w:szCs w:val="16"/>
              </w:rPr>
              <w:t>CPC 46 - Mensuração do Valor Justo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E521789" w14:textId="77777777" w:rsidR="00BA3275" w:rsidRDefault="00000000">
            <w:pPr>
              <w:rPr>
                <w:rFonts w:eastAsia="Times New Roman"/>
              </w:rPr>
            </w:pPr>
            <w:r>
              <w:rPr>
                <w:rFonts w:ascii="Arial" w:eastAsia="Times New Roman" w:hAnsi="Arial" w:cs="Arial"/>
                <w:sz w:val="16"/>
                <w:szCs w:val="16"/>
              </w:rPr>
              <w:t>Resolução CMN nº 4.924/2021</w:t>
            </w:r>
          </w:p>
        </w:tc>
      </w:tr>
      <w:tr w:rsidR="00BA3275" w14:paraId="4A5F739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84B35B1" w14:textId="77777777" w:rsidR="00BA3275" w:rsidRDefault="00000000">
            <w:pPr>
              <w:rPr>
                <w:rFonts w:eastAsia="Times New Roman"/>
              </w:rPr>
            </w:pPr>
            <w:r>
              <w:rPr>
                <w:rFonts w:ascii="Arial" w:eastAsia="Times New Roman" w:hAnsi="Arial" w:cs="Arial"/>
                <w:sz w:val="16"/>
                <w:szCs w:val="16"/>
              </w:rPr>
              <w:t>CPC 47 - Receita de Contrato com Cliente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857C64E" w14:textId="77777777" w:rsidR="00BA3275" w:rsidRDefault="00000000">
            <w:pPr>
              <w:rPr>
                <w:rFonts w:eastAsia="Times New Roman"/>
              </w:rPr>
            </w:pPr>
            <w:r>
              <w:rPr>
                <w:rFonts w:ascii="Arial" w:eastAsia="Times New Roman" w:hAnsi="Arial" w:cs="Arial"/>
                <w:sz w:val="16"/>
                <w:szCs w:val="16"/>
              </w:rPr>
              <w:t>Resolução CMN nº 4.924/2021</w:t>
            </w:r>
          </w:p>
        </w:tc>
      </w:tr>
    </w:tbl>
    <w:p w14:paraId="7A4EE5DF" w14:textId="77777777" w:rsidR="00BA3275" w:rsidRDefault="00000000">
      <w:pPr>
        <w:pStyle w:val="NormalWeb"/>
        <w:jc w:val="both"/>
      </w:pPr>
      <w:r>
        <w:rPr>
          <w:rFonts w:ascii="Arial" w:hAnsi="Arial" w:cs="Arial"/>
          <w:sz w:val="20"/>
          <w:szCs w:val="20"/>
        </w:rPr>
        <w:t>Os pronunciamentos contábeis já aprovados pelo BCB, quando aplicáveis à esta cooperativa, foram empregados em sua integridade na elaboração destas demonstrações financeiras. Os impactos de divulgação requeridos pelas Resolução CMN 4.966/21 e Resolução BCB 352/23 estão refletidos nas demonstrações deste período.</w:t>
      </w:r>
    </w:p>
    <w:p w14:paraId="3FD5A01C" w14:textId="77777777" w:rsidR="00BA3275" w:rsidRDefault="00000000">
      <w:pPr>
        <w:pStyle w:val="NormalWeb"/>
        <w:jc w:val="both"/>
      </w:pPr>
      <w:r>
        <w:rPr>
          <w:rFonts w:ascii="Arial" w:hAnsi="Arial" w:cs="Arial"/>
          <w:sz w:val="20"/>
          <w:szCs w:val="20"/>
        </w:rPr>
        <w:t>c) Moeda Funcional e apresentação</w:t>
      </w:r>
    </w:p>
    <w:p w14:paraId="016C3502" w14:textId="77777777" w:rsidR="00BA3275" w:rsidRDefault="00000000">
      <w:pPr>
        <w:pStyle w:val="NormalWeb"/>
        <w:jc w:val="both"/>
      </w:pPr>
      <w:r>
        <w:rPr>
          <w:rFonts w:ascii="Arial" w:hAnsi="Arial" w:cs="Arial"/>
          <w:sz w:val="20"/>
          <w:szCs w:val="20"/>
        </w:rPr>
        <w:t>As demonstrações contábeis são apresentadas em Reais, que é a moeda funcional e de apresentação da Cooperativa. Exceto quando indicado de outra forma, as informações financeiras quantitativas são apresentadas em milhares de Reais.</w:t>
      </w:r>
    </w:p>
    <w:p w14:paraId="2F3A313E" w14:textId="77777777" w:rsidR="00BA3275" w:rsidRDefault="00000000">
      <w:pPr>
        <w:pStyle w:val="NormalWeb"/>
      </w:pPr>
      <w:r>
        <w:rPr>
          <w:rFonts w:ascii="Arial" w:hAnsi="Arial" w:cs="Arial"/>
          <w:b/>
          <w:bCs/>
          <w:sz w:val="20"/>
          <w:szCs w:val="20"/>
        </w:rPr>
        <w:t>2.1 Mudanças nas Políticas Contábeis e Divulgação</w:t>
      </w:r>
    </w:p>
    <w:p w14:paraId="667FF51C" w14:textId="77777777" w:rsidR="00BA3275" w:rsidRDefault="00000000">
      <w:pPr>
        <w:pStyle w:val="NormalWeb"/>
        <w:jc w:val="both"/>
      </w:pPr>
      <w:r>
        <w:rPr>
          <w:rFonts w:ascii="Arial" w:hAnsi="Arial" w:cs="Arial"/>
          <w:b/>
          <w:bCs/>
          <w:sz w:val="20"/>
          <w:szCs w:val="20"/>
        </w:rPr>
        <w:t xml:space="preserve">a) Mudanças em vigor </w:t>
      </w:r>
    </w:p>
    <w:p w14:paraId="55EB137E" w14:textId="77777777" w:rsidR="00BA3275" w:rsidRDefault="00000000">
      <w:pPr>
        <w:pStyle w:val="NormalWeb"/>
        <w:jc w:val="both"/>
      </w:pPr>
      <w:r>
        <w:rPr>
          <w:rFonts w:ascii="Arial" w:hAnsi="Arial" w:cs="Arial"/>
          <w:sz w:val="20"/>
          <w:szCs w:val="20"/>
        </w:rPr>
        <w:t>Apresentamos a seguir um resumo sobre as normas emitidas pelos órgãos reguladores em exercícios anteriores e atual, mas que entraram em vigor durante o período de 2025:</w:t>
      </w:r>
    </w:p>
    <w:p w14:paraId="3657A28A" w14:textId="77777777" w:rsidR="00BA3275" w:rsidRDefault="00000000">
      <w:pPr>
        <w:pStyle w:val="NormalWeb"/>
        <w:jc w:val="both"/>
      </w:pPr>
      <w:r>
        <w:rPr>
          <w:rFonts w:ascii="Arial" w:hAnsi="Arial" w:cs="Arial"/>
          <w:sz w:val="20"/>
          <w:szCs w:val="20"/>
        </w:rPr>
        <w:t>Resolução CMN 4.966/21 e Resolução BCB 352/23: introdução de mudanças significativas nas normas contábeis para instrumentos financeiros, alinhando-se aos conceitos da norma internacional IFRS 9 (CPC 48). Os principais impactos nas demonstrações referente a adoção da resolução são:</w:t>
      </w:r>
    </w:p>
    <w:p w14:paraId="5B0352D6" w14:textId="77777777" w:rsidR="00BA3275" w:rsidRDefault="00000000">
      <w:pPr>
        <w:pStyle w:val="NormalWeb"/>
        <w:jc w:val="both"/>
      </w:pPr>
      <w:r>
        <w:rPr>
          <w:rFonts w:ascii="Arial" w:hAnsi="Arial" w:cs="Arial"/>
          <w:sz w:val="20"/>
          <w:szCs w:val="20"/>
        </w:rPr>
        <w:t>a.1 - A adoção do modelo de perda esperada para o reconhecimento das perdas associadas ao risco de crédito. Os instrumentos financeiros são classificados em 3 (três) estágios, de acordo com o incremento do risco de crédito associado. Essa abordagem antecipa a identificação do risco de perda antes da ocorrência de inadimplência.</w:t>
      </w:r>
    </w:p>
    <w:p w14:paraId="298DB941" w14:textId="77777777" w:rsidR="00BA3275" w:rsidRDefault="00000000">
      <w:pPr>
        <w:pStyle w:val="NormalWeb"/>
        <w:jc w:val="both"/>
      </w:pPr>
      <w:r>
        <w:rPr>
          <w:rFonts w:ascii="Arial" w:hAnsi="Arial" w:cs="Arial"/>
          <w:sz w:val="20"/>
          <w:szCs w:val="20"/>
        </w:rPr>
        <w:t>a.2 - Ativos financeiros passam a ser mensurados e classificados com base no modelo de negócio da Cooperativa e em suas características contratuais de fluxos de caixa e não mais com base na intenção.</w:t>
      </w:r>
    </w:p>
    <w:p w14:paraId="3D08C077" w14:textId="77777777" w:rsidR="00BA3275" w:rsidRDefault="00000000">
      <w:pPr>
        <w:pStyle w:val="NormalWeb"/>
        <w:jc w:val="both"/>
      </w:pPr>
      <w:r>
        <w:rPr>
          <w:rFonts w:ascii="Arial" w:hAnsi="Arial" w:cs="Arial"/>
          <w:sz w:val="20"/>
          <w:szCs w:val="20"/>
        </w:rPr>
        <w:t>a.3 - As receitas e os encargos de instrumentos financeiros devem ser reconhecidos no resultado, utilizando-se o método de taxa de juros efetivas.</w:t>
      </w:r>
    </w:p>
    <w:p w14:paraId="13CC6482" w14:textId="77777777" w:rsidR="00BA3275" w:rsidRDefault="00000000">
      <w:pPr>
        <w:pStyle w:val="NormalWeb"/>
        <w:jc w:val="both"/>
      </w:pPr>
      <w:r>
        <w:rPr>
          <w:rFonts w:ascii="Arial" w:hAnsi="Arial" w:cs="Arial"/>
          <w:sz w:val="20"/>
          <w:szCs w:val="20"/>
        </w:rPr>
        <w:lastRenderedPageBreak/>
        <w:t>a.4 - Novos critérios para mensuração de operações renegociadas e reestruturadas, visando maior transparência e comparabilidade.</w:t>
      </w:r>
    </w:p>
    <w:p w14:paraId="23388973" w14:textId="77777777" w:rsidR="00BA3275" w:rsidRDefault="00000000">
      <w:pPr>
        <w:pStyle w:val="NormalWeb"/>
        <w:jc w:val="both"/>
      </w:pPr>
      <w:r>
        <w:rPr>
          <w:rFonts w:ascii="Arial" w:hAnsi="Arial" w:cs="Arial"/>
          <w:sz w:val="20"/>
          <w:szCs w:val="20"/>
        </w:rPr>
        <w:t>a.5 - Vedação de registro no ativo de instrumentos financeiros baixados para prejuízo, exceto quando houver renegociação do instrumento, observando os devidos requisitos dispostos na Resolução.</w:t>
      </w:r>
    </w:p>
    <w:p w14:paraId="4AFDB96C" w14:textId="77777777" w:rsidR="00BA3275" w:rsidRDefault="00000000">
      <w:pPr>
        <w:pStyle w:val="NormalWeb"/>
        <w:jc w:val="both"/>
      </w:pPr>
      <w:r>
        <w:rPr>
          <w:rFonts w:ascii="Arial" w:hAnsi="Arial" w:cs="Arial"/>
          <w:sz w:val="20"/>
          <w:szCs w:val="20"/>
        </w:rPr>
        <w:t>Além disso:</w:t>
      </w:r>
    </w:p>
    <w:p w14:paraId="02BF4A5E" w14:textId="77777777" w:rsidR="00BA3275" w:rsidRDefault="00000000">
      <w:pPr>
        <w:pStyle w:val="NormalWeb"/>
        <w:jc w:val="both"/>
      </w:pPr>
      <w:r>
        <w:rPr>
          <w:rFonts w:ascii="Arial" w:hAnsi="Arial" w:cs="Arial"/>
          <w:sz w:val="20"/>
          <w:szCs w:val="20"/>
        </w:rPr>
        <w:t>Resolução CMN 4.975/2021 e Resolução 5.101/2023: dispõe sobre os critérios contábeis aplicáveis às operações de arrendamento mercantil tanto na condição de arrendadora como arrendatária. Essa norma estabelece os requisitos para o reconhecimento, mensuração, apresentação e divulgação de operações de arrendamento mercantil por instituições financeiras com base no CPC 06 (R2) - Arrendamentos. A norma é aplicável a todos os contratos de arrendamento, contudo, faculta às instituições financeiras a aplicação prospectiva conforme Artigo 2º, parágrafo 5º da referida Resolução.</w:t>
      </w:r>
    </w:p>
    <w:p w14:paraId="7F949B5C" w14:textId="77777777" w:rsidR="00BA3275" w:rsidRDefault="00000000">
      <w:pPr>
        <w:pStyle w:val="NormalWeb"/>
        <w:jc w:val="both"/>
      </w:pPr>
      <w:r>
        <w:rPr>
          <w:rFonts w:ascii="Arial" w:hAnsi="Arial" w:cs="Arial"/>
          <w:sz w:val="20"/>
          <w:szCs w:val="20"/>
        </w:rPr>
        <w:t>Tendo como base as análises efetuadas e a faculdade prevista, a Cooperativa optou por adotar a norma prospectivamente para os contratos celebrados a partir de 1º de janeiro de 2025, data em que entrou em vigor, conforme determinação do órgão regulador.</w:t>
      </w:r>
    </w:p>
    <w:p w14:paraId="031926DE" w14:textId="77777777" w:rsidR="00BA3275" w:rsidRDefault="00000000">
      <w:pPr>
        <w:pStyle w:val="NormalWeb"/>
        <w:jc w:val="both"/>
      </w:pPr>
      <w:r>
        <w:rPr>
          <w:rFonts w:ascii="Arial" w:hAnsi="Arial" w:cs="Arial"/>
          <w:sz w:val="20"/>
          <w:szCs w:val="20"/>
        </w:rPr>
        <w:t>Concomitante a mudança trazida pelas Resoluções já mencionadas, está a reformulação do Plano Contábil das Instituições do Sistema Financeiro Nacional – COSIF. O Banco Central do Brasil (BCB) reestruturou o elenco de contas do COSIF, estabelecendo novas estruturas e limitando os níveis de agregação das contas. As alterações promovidas foram publicadas pelo órgão regulador nos seguintes normativos:</w:t>
      </w:r>
    </w:p>
    <w:p w14:paraId="76F4C23A" w14:textId="77777777" w:rsidR="00BA3275" w:rsidRDefault="00000000">
      <w:pPr>
        <w:pStyle w:val="NormalWeb"/>
        <w:jc w:val="both"/>
      </w:pPr>
      <w:r>
        <w:rPr>
          <w:rFonts w:ascii="Arial" w:hAnsi="Arial" w:cs="Arial"/>
          <w:b/>
          <w:bCs/>
          <w:sz w:val="20"/>
          <w:szCs w:val="20"/>
        </w:rPr>
        <w:t>i) Instrução Normativa BCB nº 318,</w:t>
      </w:r>
      <w:r>
        <w:rPr>
          <w:rFonts w:ascii="Arial" w:hAnsi="Arial" w:cs="Arial"/>
          <w:sz w:val="20"/>
          <w:szCs w:val="20"/>
        </w:rPr>
        <w:t xml:space="preserve"> de 4 de novembro de 2022: define os subgrupos contábeis do elenco de contas do COSIF;</w:t>
      </w:r>
    </w:p>
    <w:p w14:paraId="26CC1207" w14:textId="77777777" w:rsidR="00BA3275" w:rsidRDefault="00000000">
      <w:pPr>
        <w:pStyle w:val="NormalWeb"/>
        <w:jc w:val="both"/>
      </w:pPr>
      <w:r>
        <w:rPr>
          <w:rFonts w:ascii="Arial" w:hAnsi="Arial" w:cs="Arial"/>
          <w:b/>
          <w:bCs/>
          <w:sz w:val="20"/>
          <w:szCs w:val="20"/>
        </w:rPr>
        <w:t>ii) Resolução BCB nº 390,</w:t>
      </w:r>
      <w:r>
        <w:rPr>
          <w:rFonts w:ascii="Arial" w:hAnsi="Arial" w:cs="Arial"/>
          <w:sz w:val="20"/>
          <w:szCs w:val="20"/>
        </w:rPr>
        <w:t xml:space="preserve"> de 12 de junho de 2024: trata da utilização do Padrão Contábil (Cosif) e da estrutura do elenco de contas do COSIF;</w:t>
      </w:r>
    </w:p>
    <w:p w14:paraId="7DDC50C2" w14:textId="77777777" w:rsidR="00BA3275" w:rsidRDefault="00000000">
      <w:pPr>
        <w:pStyle w:val="NormalWeb"/>
        <w:jc w:val="both"/>
      </w:pPr>
      <w:r>
        <w:rPr>
          <w:rFonts w:ascii="Arial" w:hAnsi="Arial" w:cs="Arial"/>
          <w:b/>
          <w:bCs/>
          <w:sz w:val="20"/>
          <w:szCs w:val="20"/>
        </w:rPr>
        <w:t>iii) Instruções Normativas BCB n° 426 a 433,</w:t>
      </w:r>
      <w:r>
        <w:rPr>
          <w:rFonts w:ascii="Arial" w:hAnsi="Arial" w:cs="Arial"/>
          <w:sz w:val="20"/>
          <w:szCs w:val="20"/>
        </w:rPr>
        <w:t xml:space="preserve"> atualizadas em 05 de novembro de 2024 pelas Instruções Normativas BCB n° 537 a 544: define as rubricas contábeis do elenco de contas do Padrão Contábil das Instituições Reguladas pelo Banco Central do Brasil (Cosif) referentes aos grupos: (i) ativo realizável e permanente;</w:t>
      </w:r>
    </w:p>
    <w:p w14:paraId="081327DA" w14:textId="77777777" w:rsidR="00BA3275" w:rsidRDefault="00000000">
      <w:pPr>
        <w:pStyle w:val="NormalWeb"/>
        <w:jc w:val="both"/>
      </w:pPr>
      <w:r>
        <w:rPr>
          <w:rFonts w:ascii="Arial" w:hAnsi="Arial" w:cs="Arial"/>
          <w:b/>
          <w:bCs/>
          <w:sz w:val="20"/>
          <w:szCs w:val="20"/>
        </w:rPr>
        <w:t>(iv) grupos de compensação ativa e passiva;</w:t>
      </w:r>
      <w:r>
        <w:rPr>
          <w:rFonts w:ascii="Arial" w:hAnsi="Arial" w:cs="Arial"/>
          <w:sz w:val="20"/>
          <w:szCs w:val="20"/>
        </w:rPr>
        <w:t xml:space="preserve"> (iii) passivo exigível; (iv) patrimônio líquido; (v) resultado credor e devedor.</w:t>
      </w:r>
    </w:p>
    <w:p w14:paraId="61EC95F5" w14:textId="77777777" w:rsidR="00BA3275" w:rsidRDefault="00000000">
      <w:pPr>
        <w:pStyle w:val="NormalWeb"/>
        <w:jc w:val="both"/>
      </w:pPr>
      <w:r>
        <w:rPr>
          <w:rFonts w:ascii="Arial" w:hAnsi="Arial" w:cs="Arial"/>
          <w:b/>
          <w:bCs/>
          <w:sz w:val="20"/>
          <w:szCs w:val="20"/>
        </w:rPr>
        <w:t>b) Adoção Inicial</w:t>
      </w:r>
    </w:p>
    <w:p w14:paraId="4C41C7F2" w14:textId="77777777" w:rsidR="00BA3275" w:rsidRDefault="00000000">
      <w:pPr>
        <w:pStyle w:val="NormalWeb"/>
        <w:jc w:val="both"/>
      </w:pPr>
      <w:r>
        <w:rPr>
          <w:rFonts w:ascii="Arial" w:hAnsi="Arial" w:cs="Arial"/>
          <w:sz w:val="20"/>
          <w:szCs w:val="20"/>
        </w:rPr>
        <w:t>A Cooperativa adotou a disposição transitória prevista no artigo 79 da Resolução CMN nº 4.966/21 de não reapresentar informações comparativas de períodos anteriores decorrentes das alterações na classificação e mensuração de instrumentos financeiros (incluindo perdas de crédito esperadas).</w:t>
      </w:r>
    </w:p>
    <w:p w14:paraId="12A076FE" w14:textId="77777777" w:rsidR="00BA3275" w:rsidRDefault="00000000">
      <w:pPr>
        <w:pStyle w:val="NormalWeb"/>
        <w:jc w:val="both"/>
      </w:pPr>
      <w:r>
        <w:rPr>
          <w:rFonts w:ascii="Arial" w:hAnsi="Arial" w:cs="Arial"/>
          <w:sz w:val="20"/>
          <w:szCs w:val="20"/>
        </w:rPr>
        <w:t>Os efeitos dos ajustes decorrentes da adoção dos novos critérios contábeis foram reconhecidos diretamente no patrimônio líquido, em contrapartida à conta de lucros ou prejuízos acumulados, pelo valor líquido dos efeitos tributários.</w:t>
      </w:r>
    </w:p>
    <w:p w14:paraId="3101AD37" w14:textId="77777777" w:rsidR="00BA3275" w:rsidRDefault="00000000">
      <w:pPr>
        <w:pStyle w:val="NormalWeb"/>
        <w:jc w:val="both"/>
      </w:pPr>
      <w:r>
        <w:rPr>
          <w:rFonts w:ascii="Arial" w:hAnsi="Arial" w:cs="Arial"/>
          <w:sz w:val="20"/>
          <w:szCs w:val="20"/>
        </w:rPr>
        <w:t>A reconciliação do patrimônio líquido do sistema Sicoob demonstrando os efeitos da transição da norma em 1º de janeiro de 2025, está apresentado na nota 4.</w:t>
      </w:r>
    </w:p>
    <w:p w14:paraId="285EE0A3" w14:textId="77777777" w:rsidR="00BA3275" w:rsidRDefault="00000000">
      <w:pPr>
        <w:pStyle w:val="NormalWeb"/>
        <w:jc w:val="both"/>
      </w:pPr>
      <w:r>
        <w:rPr>
          <w:rFonts w:ascii="Arial" w:hAnsi="Arial" w:cs="Arial"/>
          <w:b/>
          <w:bCs/>
          <w:sz w:val="20"/>
          <w:szCs w:val="20"/>
        </w:rPr>
        <w:t>c) Mudanças a serem aplicadas em períodos futuros</w:t>
      </w:r>
    </w:p>
    <w:p w14:paraId="5ADC95E5" w14:textId="77777777" w:rsidR="00BA3275" w:rsidRDefault="00000000">
      <w:pPr>
        <w:pStyle w:val="NormalWeb"/>
        <w:jc w:val="both"/>
      </w:pPr>
      <w:r>
        <w:rPr>
          <w:rFonts w:ascii="Arial" w:hAnsi="Arial" w:cs="Arial"/>
          <w:sz w:val="20"/>
          <w:szCs w:val="20"/>
        </w:rPr>
        <w:t xml:space="preserve">A Lei Complementar nº 214/2025, que regulamenta a Emenda Constitucional nº 132/2023, institui os tributos IBS, CBS e IS, promovendo ampla reformulação no sistema tributário nacional. Para as cooperativas de crédito, a norma preserva o tratamento diferenciado dos atos cooperativos, mantendo a não incidência do IBS e da CBS sobre operações realizadas entre cooperativas e seus cooperados. No entanto, operações com terceiros permanecem sujeitas à tributação. A nova legislação exigirá adaptações operacionais e contábeis, </w:t>
      </w:r>
      <w:r>
        <w:rPr>
          <w:rFonts w:ascii="Arial" w:hAnsi="Arial" w:cs="Arial"/>
          <w:sz w:val="20"/>
          <w:szCs w:val="20"/>
        </w:rPr>
        <w:lastRenderedPageBreak/>
        <w:t>especialmente diante da unificação de tributos e da necessidade de interpretação clara sobre o conceito de ato cooperativo, a norma foi sancionada em 16/01/2025.</w:t>
      </w:r>
    </w:p>
    <w:p w14:paraId="5B6F535F" w14:textId="77777777" w:rsidR="00BA3275" w:rsidRDefault="00000000">
      <w:pPr>
        <w:pStyle w:val="NormalWeb"/>
        <w:jc w:val="both"/>
      </w:pPr>
      <w:r>
        <w:rPr>
          <w:rFonts w:ascii="Arial" w:hAnsi="Arial" w:cs="Arial"/>
          <w:sz w:val="20"/>
          <w:szCs w:val="20"/>
        </w:rPr>
        <w:t>Não haverá alterações nas apurações de tributos em 2025. A Cooperativa está acompanhando as discussões e aguarda regulamentações adicionais para avaliar os impactos da reforma tributária de forma específica.</w:t>
      </w:r>
    </w:p>
    <w:p w14:paraId="58DE53E7" w14:textId="77777777" w:rsidR="00BA3275" w:rsidRDefault="00000000">
      <w:pPr>
        <w:pStyle w:val="NormalWeb"/>
        <w:jc w:val="both"/>
      </w:pPr>
      <w:r>
        <w:rPr>
          <w:rFonts w:ascii="Arial" w:hAnsi="Arial" w:cs="Arial"/>
          <w:sz w:val="20"/>
          <w:szCs w:val="20"/>
        </w:rPr>
        <w:t>Resolução CMN n° 4.966/21 - Instrumentos Financeiros e normativos relacionados - Estabelece a designação e reconhecimento contábil de hedge e o ajuste ao valor presente de instrumentos financeiros reestruturados, sendo efetivas a partir de 1º de janeiro de 2027. Os possíveis impactos estão sendo avaliados e serão concluídos até a data de entrada em vigor da norma.</w:t>
      </w:r>
    </w:p>
    <w:p w14:paraId="6445B070" w14:textId="77777777" w:rsidR="00BA3275" w:rsidRDefault="00000000">
      <w:pPr>
        <w:pStyle w:val="NormalWeb"/>
      </w:pPr>
      <w:r>
        <w:rPr>
          <w:rFonts w:ascii="Arial" w:hAnsi="Arial" w:cs="Arial"/>
          <w:b/>
          <w:bCs/>
          <w:sz w:val="20"/>
          <w:szCs w:val="20"/>
        </w:rPr>
        <w:t>2.2 Continuidade dos Negócios</w:t>
      </w:r>
    </w:p>
    <w:p w14:paraId="608EABA0" w14:textId="77777777" w:rsidR="00BA3275" w:rsidRDefault="00000000">
      <w:pPr>
        <w:pStyle w:val="NormalWeb"/>
        <w:jc w:val="both"/>
      </w:pPr>
      <w:r>
        <w:rPr>
          <w:rFonts w:ascii="Arial" w:hAnsi="Arial" w:cs="Arial"/>
          <w:sz w:val="20"/>
          <w:szCs w:val="20"/>
        </w:rPr>
        <w:t>A Administração avaliou a capacidade de a Cooperativa continuar operando normalmente e está convencida de que possui recursos suficientes para dar continuidade a seus negócios no futuro. Dessa forma, estas demonstrações financeiras foram preparadas com base no pressuposto de continuidade operacional.</w:t>
      </w:r>
    </w:p>
    <w:p w14:paraId="5C5B0B64" w14:textId="77777777" w:rsidR="00BA3275" w:rsidRDefault="00000000">
      <w:pPr>
        <w:pStyle w:val="NormalWeb"/>
      </w:pPr>
      <w:r>
        <w:rPr>
          <w:rFonts w:ascii="Arial" w:hAnsi="Arial" w:cs="Arial"/>
          <w:b/>
          <w:bCs/>
          <w:sz w:val="20"/>
          <w:szCs w:val="20"/>
        </w:rPr>
        <w:t>3. Principais Políticas Materiais</w:t>
      </w:r>
    </w:p>
    <w:p w14:paraId="2BD0D53E" w14:textId="77777777" w:rsidR="00BA3275" w:rsidRDefault="00000000">
      <w:pPr>
        <w:pStyle w:val="NormalWeb"/>
      </w:pPr>
      <w:r>
        <w:rPr>
          <w:rFonts w:ascii="Arial" w:hAnsi="Arial" w:cs="Arial"/>
          <w:b/>
          <w:bCs/>
          <w:sz w:val="20"/>
          <w:szCs w:val="20"/>
        </w:rPr>
        <w:t>3.1 Apuração do Resultado</w:t>
      </w:r>
    </w:p>
    <w:p w14:paraId="0591842B" w14:textId="77777777" w:rsidR="00BA3275" w:rsidRDefault="00000000">
      <w:pPr>
        <w:pStyle w:val="NormalWeb"/>
        <w:jc w:val="both"/>
      </w:pPr>
      <w:r>
        <w:rPr>
          <w:rFonts w:ascii="Arial" w:hAnsi="Arial" w:cs="Arial"/>
          <w:sz w:val="20"/>
          <w:szCs w:val="20"/>
        </w:rPr>
        <w:t>Os ingressos/receitas e os dispêndios/despesas são registrados de acordo com o regime de competência.</w:t>
      </w:r>
    </w:p>
    <w:p w14:paraId="3A881487" w14:textId="77777777" w:rsidR="00BA3275" w:rsidRDefault="00000000">
      <w:pPr>
        <w:pStyle w:val="NormalWeb"/>
        <w:jc w:val="both"/>
      </w:pPr>
      <w:r>
        <w:rPr>
          <w:rFonts w:ascii="Arial" w:hAnsi="Arial" w:cs="Arial"/>
          <w:sz w:val="20"/>
          <w:szCs w:val="20"/>
        </w:rPr>
        <w:t>As receitas com prestação de serviços, típicas do sistema financeiro, são reconhecidas quando da prestação de serviços ao associado ou a terceiros.</w:t>
      </w:r>
    </w:p>
    <w:p w14:paraId="11884DA5" w14:textId="77777777" w:rsidR="00BA3275" w:rsidRDefault="00000000">
      <w:pPr>
        <w:pStyle w:val="NormalWeb"/>
        <w:jc w:val="both"/>
      </w:pPr>
      <w:r>
        <w:rPr>
          <w:rFonts w:ascii="Arial" w:hAnsi="Arial" w:cs="Arial"/>
          <w:sz w:val="20"/>
          <w:szCs w:val="20"/>
        </w:rPr>
        <w:t>Os dispêndios e as despesas e os ingressos e receitas operacionais, são proporcionalizados de acordo com os montantes do ingresso bruto de ato cooperativo e da receita bruta de ato não-cooperativo, quando não identificados com cada atividade.</w:t>
      </w:r>
    </w:p>
    <w:p w14:paraId="35177B2C" w14:textId="77777777" w:rsidR="00BA3275" w:rsidRDefault="00000000">
      <w:pPr>
        <w:pStyle w:val="NormalWeb"/>
        <w:jc w:val="both"/>
      </w:pPr>
      <w:r>
        <w:rPr>
          <w:rFonts w:ascii="Arial" w:hAnsi="Arial" w:cs="Arial"/>
          <w:sz w:val="20"/>
          <w:szCs w:val="20"/>
        </w:rPr>
        <w:t>De acordo com a Lei n° 5.764/1971, o resultado é segregado em atos cooperativos, aqueles praticados entre as Cooperativas e seus associados, ou Cooperativas entre si, para o cumprimento de seus objetivos estatutários, e os atos não cooperativos aqueles que importam em operações com terceiros não associados.</w:t>
      </w:r>
    </w:p>
    <w:p w14:paraId="60DD24B8" w14:textId="77777777" w:rsidR="00BA3275" w:rsidRDefault="00000000">
      <w:pPr>
        <w:pStyle w:val="NormalWeb"/>
      </w:pPr>
      <w:r>
        <w:rPr>
          <w:rFonts w:ascii="Arial" w:hAnsi="Arial" w:cs="Arial"/>
          <w:b/>
          <w:bCs/>
          <w:sz w:val="20"/>
          <w:szCs w:val="20"/>
        </w:rPr>
        <w:t>3.2 Estimativas Contábeis</w:t>
      </w:r>
    </w:p>
    <w:p w14:paraId="1ED6899A" w14:textId="77777777" w:rsidR="00BA3275" w:rsidRDefault="00000000">
      <w:pPr>
        <w:pStyle w:val="NormalWeb"/>
        <w:jc w:val="both"/>
      </w:pPr>
      <w:r>
        <w:rPr>
          <w:rFonts w:ascii="Arial" w:hAnsi="Arial" w:cs="Arial"/>
          <w:sz w:val="20"/>
          <w:szCs w:val="20"/>
        </w:rPr>
        <w:t>Na elaboração das demonstrações financeiras faz-se necessário utilizar estimativas para determinar o valor de certos ativos, passivos e outras transações considerando a melhor informação disponível. Incluem, portanto, estimativas referentes à provisão para perdas esperadas associadas ao risco de crédito, à vida útil dos bens do ativo imobilizado, provisões para causas judiciais, entre outras. Os resultados reais podem apresentar variação em relação às estimativas utilizadas.</w:t>
      </w:r>
    </w:p>
    <w:p w14:paraId="27699BDC" w14:textId="77777777" w:rsidR="00BA3275" w:rsidRDefault="00000000">
      <w:pPr>
        <w:pStyle w:val="NormalWeb"/>
      </w:pPr>
      <w:r>
        <w:rPr>
          <w:rFonts w:ascii="Arial" w:hAnsi="Arial" w:cs="Arial"/>
          <w:b/>
          <w:bCs/>
          <w:sz w:val="20"/>
          <w:szCs w:val="20"/>
        </w:rPr>
        <w:t>3.3 Caixa e Equivalentes de Caixa</w:t>
      </w:r>
    </w:p>
    <w:p w14:paraId="198D0245" w14:textId="77777777" w:rsidR="00BA3275" w:rsidRDefault="00000000">
      <w:pPr>
        <w:pStyle w:val="NormalWeb"/>
        <w:jc w:val="both"/>
      </w:pPr>
      <w:r>
        <w:rPr>
          <w:rFonts w:ascii="Arial" w:hAnsi="Arial" w:cs="Arial"/>
          <w:sz w:val="20"/>
          <w:szCs w:val="20"/>
        </w:rPr>
        <w:t>Composto pelas disponibilidades, pela Centralização Financeira mantida na Central e por aplicações financeiras de curto prazo, de alta liquidez, com risco insignificante de mudança de valores e limites e, com prazo de vencimento igual ou inferior a 90 dias, a contar da data de aquisição. São utilizadas pelo Sicoob para o gerenciamento de seus compromissos de curto prazo, de acordo com a Nota 5.</w:t>
      </w:r>
    </w:p>
    <w:p w14:paraId="519CBF26" w14:textId="77777777" w:rsidR="00BA3275" w:rsidRDefault="00000000">
      <w:pPr>
        <w:pStyle w:val="NormalWeb"/>
      </w:pPr>
      <w:r>
        <w:rPr>
          <w:rFonts w:ascii="Arial" w:hAnsi="Arial" w:cs="Arial"/>
          <w:b/>
          <w:bCs/>
          <w:sz w:val="20"/>
          <w:szCs w:val="20"/>
        </w:rPr>
        <w:t>3.4 Instrumentos Financeiros</w:t>
      </w:r>
    </w:p>
    <w:p w14:paraId="055DE37C" w14:textId="77777777" w:rsidR="00BA3275" w:rsidRDefault="00000000">
      <w:pPr>
        <w:pStyle w:val="NormalWeb"/>
        <w:jc w:val="both"/>
      </w:pPr>
      <w:r>
        <w:rPr>
          <w:rFonts w:ascii="Arial" w:hAnsi="Arial" w:cs="Arial"/>
          <w:b/>
          <w:bCs/>
          <w:sz w:val="20"/>
          <w:szCs w:val="20"/>
        </w:rPr>
        <w:t>I. Classificação dos instrumentos financeiros</w:t>
      </w:r>
    </w:p>
    <w:p w14:paraId="7DECB4E1" w14:textId="77777777" w:rsidR="00BA3275" w:rsidRDefault="00000000">
      <w:pPr>
        <w:pStyle w:val="NormalWeb"/>
        <w:jc w:val="both"/>
      </w:pPr>
      <w:r>
        <w:rPr>
          <w:rFonts w:ascii="Arial" w:hAnsi="Arial" w:cs="Arial"/>
          <w:sz w:val="20"/>
          <w:szCs w:val="20"/>
        </w:rPr>
        <w:t>Conforme requerido pela norma, foram aprovadas pelos órgãos de governança, as Políticas de Modelos de Negócios aplicáveis a todas as entidades sistêmicas para administração dos ativos financeiros. As Cooperativas administram e classificam os ativos financeiros em um dos três modelos/categorias descritas a seguir:</w:t>
      </w:r>
    </w:p>
    <w:p w14:paraId="7CE41BB6" w14:textId="77777777" w:rsidR="00BA3275" w:rsidRDefault="00000000">
      <w:pPr>
        <w:pStyle w:val="NormalWeb"/>
        <w:jc w:val="both"/>
      </w:pPr>
      <w:r>
        <w:rPr>
          <w:rFonts w:ascii="Arial" w:hAnsi="Arial" w:cs="Arial"/>
          <w:b/>
          <w:bCs/>
          <w:sz w:val="20"/>
          <w:szCs w:val="20"/>
        </w:rPr>
        <w:t>Modelo de Negócio 1:</w:t>
      </w:r>
      <w:r>
        <w:rPr>
          <w:rFonts w:ascii="Arial" w:hAnsi="Arial" w:cs="Arial"/>
          <w:sz w:val="20"/>
          <w:szCs w:val="20"/>
        </w:rPr>
        <w:t xml:space="preserve"> Manter os ativos para recebimento de fluxos de caixa contratuais;</w:t>
      </w:r>
    </w:p>
    <w:p w14:paraId="56081E9C" w14:textId="77777777" w:rsidR="00BA3275" w:rsidRDefault="00000000">
      <w:pPr>
        <w:pStyle w:val="NormalWeb"/>
        <w:jc w:val="both"/>
      </w:pPr>
      <w:r>
        <w:rPr>
          <w:rFonts w:ascii="Arial" w:hAnsi="Arial" w:cs="Arial"/>
          <w:b/>
          <w:bCs/>
          <w:sz w:val="20"/>
          <w:szCs w:val="20"/>
        </w:rPr>
        <w:lastRenderedPageBreak/>
        <w:t>Custo Amortizado:</w:t>
      </w:r>
      <w:r>
        <w:rPr>
          <w:rFonts w:ascii="Arial" w:hAnsi="Arial" w:cs="Arial"/>
          <w:sz w:val="20"/>
          <w:szCs w:val="20"/>
        </w:rPr>
        <w:t xml:space="preserve"> o ativo é gerido dentro de modelo de negócios cujo objetivo é manter ativos financeiros com o fim de receber os respectivos fluxos de caixa contratuais, constituídos apenas por pagamentos de principal e juros.</w:t>
      </w:r>
    </w:p>
    <w:p w14:paraId="108B2C81" w14:textId="77777777" w:rsidR="00BA3275" w:rsidRDefault="00000000">
      <w:pPr>
        <w:pStyle w:val="NormalWeb"/>
        <w:jc w:val="both"/>
      </w:pPr>
      <w:r>
        <w:rPr>
          <w:rFonts w:ascii="Arial" w:hAnsi="Arial" w:cs="Arial"/>
          <w:b/>
          <w:bCs/>
          <w:sz w:val="20"/>
          <w:szCs w:val="20"/>
        </w:rPr>
        <w:t>Modelo de Negócio 2:</w:t>
      </w:r>
      <w:r>
        <w:rPr>
          <w:rFonts w:ascii="Arial" w:hAnsi="Arial" w:cs="Arial"/>
          <w:sz w:val="20"/>
          <w:szCs w:val="20"/>
        </w:rPr>
        <w:t xml:space="preserve"> Gerar retorno tanto pelo recebimento dos fluxos de caixa contratuais quanto pela venda do Ativo Financeiro.</w:t>
      </w:r>
    </w:p>
    <w:p w14:paraId="4636FE92" w14:textId="77777777" w:rsidR="00BA3275" w:rsidRDefault="00000000">
      <w:pPr>
        <w:pStyle w:val="NormalWeb"/>
        <w:jc w:val="both"/>
      </w:pPr>
      <w:r>
        <w:rPr>
          <w:rFonts w:ascii="Arial" w:hAnsi="Arial" w:cs="Arial"/>
          <w:b/>
          <w:bCs/>
          <w:sz w:val="20"/>
          <w:szCs w:val="20"/>
        </w:rPr>
        <w:t>Valor Justo por meio de Outros Resultados Abrangentes:</w:t>
      </w:r>
      <w:r>
        <w:rPr>
          <w:rFonts w:ascii="Arial" w:hAnsi="Arial" w:cs="Arial"/>
          <w:sz w:val="20"/>
          <w:szCs w:val="20"/>
        </w:rPr>
        <w:t xml:space="preserve"> o ativo financeiro é gerido dentro de modelo de negócios cujo objetivo é gerar retorno tanto pelo recebimento dos fluxos de caixa contratuais quanto pela venda do ativo financeiro com transferência substancial de riscos e benefícios, constituídos apenas por pagamentos de principal e juros, quanto para a venda.</w:t>
      </w:r>
    </w:p>
    <w:p w14:paraId="46D0F93C" w14:textId="77777777" w:rsidR="00BA3275" w:rsidRDefault="00000000">
      <w:pPr>
        <w:pStyle w:val="NormalWeb"/>
        <w:jc w:val="both"/>
      </w:pPr>
      <w:r>
        <w:rPr>
          <w:rFonts w:ascii="Arial" w:hAnsi="Arial" w:cs="Arial"/>
          <w:b/>
          <w:bCs/>
          <w:sz w:val="20"/>
          <w:szCs w:val="20"/>
        </w:rPr>
        <w:t>Modelo de Negócio 3:</w:t>
      </w:r>
      <w:r>
        <w:rPr>
          <w:rFonts w:ascii="Arial" w:hAnsi="Arial" w:cs="Arial"/>
          <w:sz w:val="20"/>
          <w:szCs w:val="20"/>
        </w:rPr>
        <w:t xml:space="preserve"> Outros modelos de negócios.</w:t>
      </w:r>
    </w:p>
    <w:p w14:paraId="59F6569A" w14:textId="77777777" w:rsidR="00BA3275" w:rsidRDefault="00000000">
      <w:pPr>
        <w:pStyle w:val="NormalWeb"/>
      </w:pPr>
      <w:r>
        <w:rPr>
          <w:rFonts w:ascii="Arial" w:hAnsi="Arial" w:cs="Arial"/>
          <w:b/>
          <w:bCs/>
          <w:sz w:val="20"/>
          <w:szCs w:val="20"/>
        </w:rPr>
        <w:t>Valor Justo no Resultado:</w:t>
      </w:r>
      <w:r>
        <w:rPr>
          <w:rFonts w:ascii="Arial" w:hAnsi="Arial" w:cs="Arial"/>
          <w:sz w:val="20"/>
          <w:szCs w:val="20"/>
        </w:rPr>
        <w:t xml:space="preserve"> utilizada para ativos financeiros que não atendem os critérios descritos acima.</w:t>
      </w:r>
    </w:p>
    <w:p w14:paraId="5A6529AF" w14:textId="77777777" w:rsidR="00BA3275" w:rsidRDefault="00000000">
      <w:pPr>
        <w:pStyle w:val="NormalWeb"/>
        <w:jc w:val="both"/>
      </w:pPr>
      <w:r>
        <w:rPr>
          <w:rFonts w:ascii="Arial" w:hAnsi="Arial" w:cs="Arial"/>
          <w:sz w:val="20"/>
          <w:szCs w:val="20"/>
        </w:rPr>
        <w:t>A classificação em cada uma das categorias de mensuração depende da avaliação do modelo de negócios para cada ativo financeiro, bem como das características dos seus fluxos de caixa contratuais (Somente Pagamento de Principal e Juros – Teste SPPJ).</w:t>
      </w:r>
    </w:p>
    <w:p w14:paraId="75FD134F" w14:textId="77777777" w:rsidR="00BA3275" w:rsidRDefault="00000000">
      <w:pPr>
        <w:pStyle w:val="NormalWeb"/>
        <w:jc w:val="both"/>
      </w:pPr>
      <w:r>
        <w:rPr>
          <w:rFonts w:ascii="Arial" w:hAnsi="Arial" w:cs="Arial"/>
          <w:sz w:val="20"/>
          <w:szCs w:val="20"/>
        </w:rPr>
        <w:t>Para determinar o modelo de negócios, a Cooperativa avalia a estratégia de obtenção de resultados financeiros, ou seja, pelo i) recebimento de fluxos de caixa de principal e juros, ii) pela venda, ou por iii) ambos. Para isso, leva em consideração, entre outros, as seguintes evidências:</w:t>
      </w:r>
    </w:p>
    <w:p w14:paraId="08DABDC1" w14:textId="77777777" w:rsidR="00BA3275" w:rsidRDefault="00000000">
      <w:pPr>
        <w:pStyle w:val="NormalWeb"/>
      </w:pPr>
      <w:r>
        <w:rPr>
          <w:rFonts w:ascii="Arial" w:hAnsi="Arial" w:cs="Arial"/>
          <w:sz w:val="20"/>
          <w:szCs w:val="20"/>
        </w:rPr>
        <w:t>- os riscos que afetam o desempenho do modelo de negócio;</w:t>
      </w:r>
    </w:p>
    <w:p w14:paraId="4AAE58EC" w14:textId="77777777" w:rsidR="00BA3275" w:rsidRDefault="00000000">
      <w:pPr>
        <w:pStyle w:val="NormalWeb"/>
      </w:pPr>
      <w:r>
        <w:rPr>
          <w:rFonts w:ascii="Arial" w:hAnsi="Arial" w:cs="Arial"/>
          <w:sz w:val="20"/>
          <w:szCs w:val="20"/>
        </w:rPr>
        <w:t>- como os gestores do negócio são remunerados;</w:t>
      </w:r>
    </w:p>
    <w:p w14:paraId="1D963E56" w14:textId="77777777" w:rsidR="00BA3275" w:rsidRDefault="00000000">
      <w:pPr>
        <w:pStyle w:val="NormalWeb"/>
      </w:pPr>
      <w:r>
        <w:rPr>
          <w:rFonts w:ascii="Arial" w:hAnsi="Arial" w:cs="Arial"/>
          <w:sz w:val="20"/>
          <w:szCs w:val="20"/>
        </w:rPr>
        <w:t>- e como o desempenho do modelo de negócios é avaliado e reportado à Administração.</w:t>
      </w:r>
    </w:p>
    <w:p w14:paraId="27E23299" w14:textId="77777777" w:rsidR="00BA3275" w:rsidRDefault="00000000">
      <w:pPr>
        <w:pStyle w:val="NormalWeb"/>
        <w:jc w:val="both"/>
      </w:pPr>
      <w:r>
        <w:rPr>
          <w:rFonts w:ascii="Arial" w:hAnsi="Arial" w:cs="Arial"/>
          <w:sz w:val="20"/>
          <w:szCs w:val="20"/>
        </w:rPr>
        <w:t>A avaliação das características dos fluxos de caixa é feita por meio de aplicação do teste SPPJ a fim de avaliar se os fluxos de caixa contratuais constituem apenas pagamento de principal e juros. Para atender esse conceito os fluxos de caixa devem incluir contraprestação pelo valor do dinheiro no tempo e risco de crédito. Se esse conceito não for atendido, o ativo financeiro é classificado ao Valor Justo por meio do Resultado.</w:t>
      </w:r>
    </w:p>
    <w:p w14:paraId="2BBBEAC1" w14:textId="7A650D13" w:rsidR="00BA3275" w:rsidRDefault="00000000">
      <w:pPr>
        <w:pStyle w:val="NormalWeb"/>
        <w:jc w:val="both"/>
      </w:pPr>
      <w:r>
        <w:rPr>
          <w:rFonts w:ascii="Arial" w:hAnsi="Arial" w:cs="Arial"/>
          <w:sz w:val="20"/>
          <w:szCs w:val="20"/>
        </w:rPr>
        <w:t xml:space="preserve">A Cooperativa não faz uso da opção irrevogável, aplicável a ativos e passivos financeiros, de mensuração ao valor justo no reconhecimento inicial, para os ativos financeiros, quando essa designação resulta em informação mais relevante para a entidade, porque elimina ou reduz significativamente uma inconsistência na mensuração ou no reconhecimento que de outra forma resultaria da mensuração de ativos ou passivos ou do reconhecimento de ganhos e perdas sobre eles em diferentes bases. </w:t>
      </w:r>
    </w:p>
    <w:p w14:paraId="6329B96A" w14:textId="77777777" w:rsidR="00BA3275" w:rsidRDefault="00000000">
      <w:pPr>
        <w:pStyle w:val="NormalWeb"/>
        <w:jc w:val="both"/>
      </w:pPr>
      <w:r>
        <w:rPr>
          <w:rFonts w:ascii="Arial" w:hAnsi="Arial" w:cs="Arial"/>
          <w:b/>
          <w:bCs/>
          <w:sz w:val="20"/>
          <w:szCs w:val="20"/>
        </w:rPr>
        <w:t>II. Mensuração dos instrumentos financeiros</w:t>
      </w:r>
    </w:p>
    <w:p w14:paraId="52BB0667" w14:textId="77777777" w:rsidR="00BA3275" w:rsidRDefault="00000000">
      <w:pPr>
        <w:pStyle w:val="NormalWeb"/>
        <w:jc w:val="both"/>
      </w:pPr>
      <w:r>
        <w:rPr>
          <w:rFonts w:ascii="Arial" w:hAnsi="Arial" w:cs="Arial"/>
          <w:sz w:val="20"/>
          <w:szCs w:val="20"/>
        </w:rPr>
        <w:t>A mensuração dos ativos e passivos financeiros dependem da categoria de mensuração onde foram classificados, a saber:</w:t>
      </w:r>
    </w:p>
    <w:p w14:paraId="6BF170A9" w14:textId="77777777" w:rsidR="00BA3275" w:rsidRDefault="00000000">
      <w:pPr>
        <w:pStyle w:val="NormalWeb"/>
        <w:jc w:val="both"/>
      </w:pPr>
      <w:r>
        <w:rPr>
          <w:rFonts w:ascii="Arial" w:hAnsi="Arial" w:cs="Arial"/>
          <w:b/>
          <w:bCs/>
          <w:sz w:val="20"/>
          <w:szCs w:val="20"/>
        </w:rPr>
        <w:t>Custo amortizado:</w:t>
      </w:r>
      <w:r>
        <w:rPr>
          <w:rFonts w:ascii="Arial" w:hAnsi="Arial" w:cs="Arial"/>
          <w:sz w:val="20"/>
          <w:szCs w:val="20"/>
        </w:rPr>
        <w:t xml:space="preserve"> os ativos e passivos financeiros nesta categoria são inicialmente reconhecidos pelo seu valor justo, acrescidos dos custos de transação. Subsequentemente são mensurados ao custo amortizado, acrescidos das atualizações efetuadas utilizando a taxa efetiva de juros. Os ganhos dos ativos financeiros desta categoria são reconhecidos na rubrica “Receitas de juros”, enquanto as despesas de juros dos passivos financeiros são reconhecidas na rubrica “Despesas de juros”, ao longo do prazo do respectivo contrato.</w:t>
      </w:r>
    </w:p>
    <w:p w14:paraId="287BFC08" w14:textId="77777777" w:rsidR="00BA3275" w:rsidRDefault="00000000">
      <w:pPr>
        <w:pStyle w:val="NormalWeb"/>
        <w:jc w:val="both"/>
      </w:pPr>
      <w:r>
        <w:rPr>
          <w:rFonts w:ascii="Arial" w:hAnsi="Arial" w:cs="Arial"/>
          <w:b/>
          <w:bCs/>
          <w:sz w:val="20"/>
          <w:szCs w:val="20"/>
        </w:rPr>
        <w:t>Ao valor justo em outros resultados abrangentes:</w:t>
      </w:r>
      <w:r>
        <w:rPr>
          <w:rFonts w:ascii="Arial" w:hAnsi="Arial" w:cs="Arial"/>
          <w:sz w:val="20"/>
          <w:szCs w:val="20"/>
        </w:rPr>
        <w:t xml:space="preserve"> os ativos financeiros nesta categoria são inicialmente reconhecidos pelo seu valor justo, sendo os respectivos custos de transação reconhecidos como despesa. Subsequentemente são mensurados pelo valor justo, sendo os ganhos ou perdas provenientes de alterações no valor justo reconhecidos diretamente em rubrica específica do patrimônio líquido intitulada "Ajuste de avaliação patrimonial", até que o ativo financeiro seja baixado. Quando da realização de baixa do ativo, os ganhos ou perdas acumulados na rubrica específica do patrimônio líquido são transferidos para o resultado </w:t>
      </w:r>
      <w:r>
        <w:rPr>
          <w:rFonts w:ascii="Arial" w:hAnsi="Arial" w:cs="Arial"/>
          <w:sz w:val="20"/>
          <w:szCs w:val="20"/>
        </w:rPr>
        <w:lastRenderedPageBreak/>
        <w:t>do período. Os juros de ativos financeiros classificados nesta categoria são reconhecidos no resultado do exercício na rubrica “Receitas de juros”. Os juros desses ativos financeiros são calculados com base na aplicação do método da taxa efetiva de juros.</w:t>
      </w:r>
    </w:p>
    <w:p w14:paraId="37808377" w14:textId="77777777" w:rsidR="00BA3275" w:rsidRDefault="00000000">
      <w:pPr>
        <w:pStyle w:val="NormalWeb"/>
        <w:jc w:val="both"/>
      </w:pPr>
      <w:r>
        <w:rPr>
          <w:rFonts w:ascii="Arial" w:hAnsi="Arial" w:cs="Arial"/>
          <w:b/>
          <w:bCs/>
          <w:sz w:val="20"/>
          <w:szCs w:val="20"/>
        </w:rPr>
        <w:t>Ao valor justo por meio do resultado e designados ao valor justo no reconhecimento inicial:</w:t>
      </w:r>
      <w:r>
        <w:rPr>
          <w:rFonts w:ascii="Arial" w:hAnsi="Arial" w:cs="Arial"/>
          <w:sz w:val="20"/>
          <w:szCs w:val="20"/>
        </w:rPr>
        <w:t xml:space="preserve"> são inicialmente reconhecidos pelo seu valor justo, sendo os respectivos custos de transação reconhecidos como despesa. Os ganhos ou as perdas decorrentes de variações no valor justo desses ativos e passivos financeiros são apresentados na demonstração consolidada do resultado na rubrica "Resultado líquido de juros”, no período em que ocorrem.</w:t>
      </w:r>
    </w:p>
    <w:p w14:paraId="58404DC9" w14:textId="77777777" w:rsidR="00BA3275" w:rsidRDefault="00000000">
      <w:pPr>
        <w:pStyle w:val="NormalWeb"/>
        <w:jc w:val="both"/>
      </w:pPr>
      <w:r>
        <w:rPr>
          <w:rFonts w:ascii="Arial" w:hAnsi="Arial" w:cs="Arial"/>
          <w:b/>
          <w:bCs/>
          <w:sz w:val="20"/>
          <w:szCs w:val="20"/>
        </w:rPr>
        <w:t>III. Hierarquia de valor justo</w:t>
      </w:r>
    </w:p>
    <w:p w14:paraId="35F504E4" w14:textId="77777777" w:rsidR="00BA3275" w:rsidRDefault="00000000">
      <w:pPr>
        <w:pStyle w:val="NormalWeb"/>
        <w:jc w:val="both"/>
      </w:pPr>
      <w:r>
        <w:rPr>
          <w:rFonts w:ascii="Arial" w:hAnsi="Arial" w:cs="Arial"/>
          <w:sz w:val="20"/>
          <w:szCs w:val="20"/>
        </w:rPr>
        <w:t>Os instrumentos financeiros do Sicoob serão categorizados conforme hierarquia do valor justo, descritos a seguir:</w:t>
      </w:r>
    </w:p>
    <w:p w14:paraId="13C975BF" w14:textId="77777777" w:rsidR="00BA3275" w:rsidRDefault="00000000">
      <w:pPr>
        <w:pStyle w:val="NormalWeb"/>
      </w:pPr>
      <w:r>
        <w:rPr>
          <w:rFonts w:ascii="Arial" w:hAnsi="Arial" w:cs="Arial"/>
          <w:b/>
          <w:bCs/>
          <w:sz w:val="20"/>
          <w:szCs w:val="20"/>
        </w:rPr>
        <w:t xml:space="preserve">Instrumentos Financeiros – Nível 1: </w:t>
      </w:r>
      <w:r>
        <w:rPr>
          <w:rFonts w:ascii="Arial" w:hAnsi="Arial" w:cs="Arial"/>
          <w:sz w:val="20"/>
          <w:szCs w:val="20"/>
        </w:rPr>
        <w:t>O valor justo dos ativos financeiros é baseado nos preços de mercado, cotados na data do balanço.</w:t>
      </w:r>
    </w:p>
    <w:p w14:paraId="32B6EED6" w14:textId="77777777" w:rsidR="00BA3275" w:rsidRDefault="00000000">
      <w:pPr>
        <w:pStyle w:val="NormalWeb"/>
      </w:pPr>
      <w:r>
        <w:rPr>
          <w:rFonts w:ascii="Arial" w:hAnsi="Arial" w:cs="Arial"/>
          <w:b/>
          <w:bCs/>
          <w:sz w:val="20"/>
          <w:szCs w:val="20"/>
        </w:rPr>
        <w:t xml:space="preserve">Instrumentos Financeiros – Nível 2: </w:t>
      </w:r>
      <w:r>
        <w:rPr>
          <w:rFonts w:ascii="Arial" w:hAnsi="Arial" w:cs="Arial"/>
          <w:sz w:val="20"/>
          <w:szCs w:val="20"/>
        </w:rPr>
        <w:t>O valor justo dos ativos financeiros que não são negociados em mercados ativos (por exemplo, derivativos de balcão) é determinado mediante o uso de técnicas de avaliação. Se todas as premissas relevantes utilizadas para determinar o valor justo desse ativo puderem ser observadas no mercado, esse estará incluído no nível 2.</w:t>
      </w:r>
    </w:p>
    <w:p w14:paraId="2EF56867" w14:textId="77777777" w:rsidR="00BA3275" w:rsidRDefault="00000000">
      <w:pPr>
        <w:pStyle w:val="NormalWeb"/>
      </w:pPr>
      <w:r>
        <w:rPr>
          <w:rFonts w:ascii="Arial" w:hAnsi="Arial" w:cs="Arial"/>
          <w:b/>
          <w:bCs/>
          <w:sz w:val="20"/>
          <w:szCs w:val="20"/>
        </w:rPr>
        <w:t xml:space="preserve">Instrumentos Financeiros – Nível 3: </w:t>
      </w:r>
      <w:r>
        <w:rPr>
          <w:rFonts w:ascii="Arial" w:hAnsi="Arial" w:cs="Arial"/>
          <w:sz w:val="20"/>
          <w:szCs w:val="20"/>
        </w:rPr>
        <w:t>Se uma ou mais informações relevantes não estiver baseada em dados adotados pelo mercado, o ativo estará incluído no nível 3.</w:t>
      </w:r>
    </w:p>
    <w:p w14:paraId="17B2F709" w14:textId="77777777" w:rsidR="00BA3275" w:rsidRDefault="00000000">
      <w:pPr>
        <w:pStyle w:val="NormalWeb"/>
        <w:jc w:val="both"/>
      </w:pPr>
      <w:r>
        <w:rPr>
          <w:rFonts w:ascii="Arial" w:hAnsi="Arial" w:cs="Arial"/>
          <w:b/>
          <w:bCs/>
          <w:sz w:val="20"/>
          <w:szCs w:val="20"/>
        </w:rPr>
        <w:t>IV. Reclassificação dos instrumentos financeiros</w:t>
      </w:r>
    </w:p>
    <w:p w14:paraId="47BBCFEA" w14:textId="77777777" w:rsidR="00BA3275" w:rsidRDefault="00000000">
      <w:pPr>
        <w:pStyle w:val="NormalWeb"/>
        <w:jc w:val="both"/>
      </w:pPr>
      <w:r>
        <w:rPr>
          <w:rFonts w:ascii="Arial" w:hAnsi="Arial" w:cs="Arial"/>
          <w:sz w:val="20"/>
          <w:szCs w:val="20"/>
        </w:rPr>
        <w:t>A Cooperativa reclassificou seus ativos e passivos financeiros no exercício apresentado. Estando demonstrados no quadro de reclassificação nota 4.</w:t>
      </w:r>
    </w:p>
    <w:p w14:paraId="0B240DF7" w14:textId="77777777" w:rsidR="00BA3275" w:rsidRDefault="00000000">
      <w:pPr>
        <w:pStyle w:val="NormalWeb"/>
        <w:jc w:val="both"/>
      </w:pPr>
      <w:r>
        <w:rPr>
          <w:rFonts w:ascii="Arial" w:hAnsi="Arial" w:cs="Arial"/>
          <w:b/>
          <w:bCs/>
          <w:sz w:val="20"/>
          <w:szCs w:val="20"/>
        </w:rPr>
        <w:t xml:space="preserve">V. Baixa dos instrumentos financeiros </w:t>
      </w:r>
    </w:p>
    <w:p w14:paraId="01387AED" w14:textId="77777777" w:rsidR="00BA3275" w:rsidRDefault="00000000">
      <w:pPr>
        <w:pStyle w:val="NormalWeb"/>
        <w:jc w:val="both"/>
      </w:pPr>
      <w:r>
        <w:rPr>
          <w:rFonts w:ascii="Arial" w:hAnsi="Arial" w:cs="Arial"/>
          <w:sz w:val="20"/>
          <w:szCs w:val="20"/>
        </w:rPr>
        <w:t>Os ativos financeiros são baixados quando os direitos contratuais de recebimento dos fluxos de caixa provenientes destes ativos cessam ou se houver uma transferência substancial dos riscos e benefícios de propriedade do instrumento e tal transferência se qualifica para baixa.</w:t>
      </w:r>
    </w:p>
    <w:p w14:paraId="6ED0806E" w14:textId="77777777" w:rsidR="00BA3275" w:rsidRDefault="00000000">
      <w:pPr>
        <w:pStyle w:val="NormalWeb"/>
        <w:jc w:val="both"/>
      </w:pPr>
      <w:r>
        <w:rPr>
          <w:rFonts w:ascii="Arial" w:hAnsi="Arial" w:cs="Arial"/>
          <w:sz w:val="20"/>
          <w:szCs w:val="20"/>
        </w:rPr>
        <w:t>Passivos financeiros são baixados se a obrigação for extinta contratualmente ou liquidada.</w:t>
      </w:r>
    </w:p>
    <w:p w14:paraId="4FDBEDDA" w14:textId="77777777" w:rsidR="00BA3275" w:rsidRDefault="00000000">
      <w:pPr>
        <w:pStyle w:val="NormalWeb"/>
      </w:pPr>
      <w:r>
        <w:rPr>
          <w:rFonts w:ascii="Arial" w:hAnsi="Arial" w:cs="Arial"/>
          <w:b/>
          <w:bCs/>
          <w:sz w:val="20"/>
          <w:szCs w:val="20"/>
        </w:rPr>
        <w:t>3.5 Derivativos</w:t>
      </w:r>
    </w:p>
    <w:p w14:paraId="4340AD2C" w14:textId="77777777" w:rsidR="00BA3275" w:rsidRDefault="00000000">
      <w:pPr>
        <w:pStyle w:val="NormalWeb"/>
        <w:jc w:val="both"/>
      </w:pPr>
      <w:r>
        <w:rPr>
          <w:rFonts w:ascii="Arial" w:hAnsi="Arial" w:cs="Arial"/>
          <w:sz w:val="20"/>
          <w:szCs w:val="20"/>
        </w:rPr>
        <w:t>Os instrumentos financeiros derivativos são ajustados para o valor de mercado em contrapartida ao resultado do período.</w:t>
      </w:r>
    </w:p>
    <w:p w14:paraId="234036D2" w14:textId="77777777" w:rsidR="00BA3275" w:rsidRDefault="00000000">
      <w:pPr>
        <w:pStyle w:val="NormalWeb"/>
        <w:jc w:val="both"/>
      </w:pPr>
      <w:r>
        <w:rPr>
          <w:rFonts w:ascii="Arial" w:hAnsi="Arial" w:cs="Arial"/>
          <w:sz w:val="20"/>
          <w:szCs w:val="20"/>
        </w:rPr>
        <w:t>As operações a termo são registradas pelo valor final contratado deduzido da diferença entre esse valor e o preço à vista do bem ou direito, sendo essa diferença reconhecida como receita ou despesa em razão do prazo de fluência dos contratos.</w:t>
      </w:r>
    </w:p>
    <w:p w14:paraId="7183D4DA" w14:textId="77777777" w:rsidR="00BA3275" w:rsidRDefault="00000000">
      <w:pPr>
        <w:pStyle w:val="NormalWeb"/>
        <w:jc w:val="both"/>
      </w:pPr>
      <w:r>
        <w:rPr>
          <w:rFonts w:ascii="Arial" w:hAnsi="Arial" w:cs="Arial"/>
          <w:sz w:val="20"/>
          <w:szCs w:val="20"/>
        </w:rPr>
        <w:t>As operações com opções são registradas pelo valor dos prêmios pagos ou recebidos até o efetivo exercício da opção, quando então é baixado como redução, ajustado ao valor de mercado ou aumento do custo do bem ou direito, pelo efetivo exercício, ou como receita ou despesa, no caso de não exercício.</w:t>
      </w:r>
    </w:p>
    <w:p w14:paraId="6989A2BC" w14:textId="77777777" w:rsidR="00BA3275" w:rsidRDefault="00000000">
      <w:pPr>
        <w:pStyle w:val="NormalWeb"/>
        <w:jc w:val="both"/>
      </w:pPr>
      <w:r>
        <w:rPr>
          <w:rFonts w:ascii="Arial" w:hAnsi="Arial" w:cs="Arial"/>
          <w:sz w:val="20"/>
          <w:szCs w:val="20"/>
        </w:rPr>
        <w:t>As operações de futuro são registradas pelo valor dos ajustes diários, apropriados como receita ou despesa.</w:t>
      </w:r>
    </w:p>
    <w:p w14:paraId="6034E3BB" w14:textId="77777777" w:rsidR="00BA3275" w:rsidRDefault="00000000">
      <w:pPr>
        <w:pStyle w:val="NormalWeb"/>
        <w:jc w:val="both"/>
      </w:pPr>
      <w:r>
        <w:rPr>
          <w:rFonts w:ascii="Arial" w:hAnsi="Arial" w:cs="Arial"/>
          <w:sz w:val="20"/>
          <w:szCs w:val="20"/>
        </w:rPr>
        <w:t>As operações de "swap" são registradas pelo diferencial a receber ou a pagar, diferencial esse apropriado como receita ou despesa.</w:t>
      </w:r>
    </w:p>
    <w:p w14:paraId="68116A2D" w14:textId="77777777" w:rsidR="00BA3275" w:rsidRDefault="00000000">
      <w:pPr>
        <w:pStyle w:val="NormalWeb"/>
        <w:jc w:val="both"/>
      </w:pPr>
      <w:r>
        <w:rPr>
          <w:rFonts w:ascii="Arial" w:hAnsi="Arial" w:cs="Arial"/>
          <w:sz w:val="20"/>
          <w:szCs w:val="20"/>
        </w:rPr>
        <w:t xml:space="preserve">Os contratos de câmbio, anteriormente classificadas sob rubricas específicas de ativos ou passivos relacionados à moeda estrangeira, agora devem ser registradas como derivativos, conforme o Art. 2º, inciso </w:t>
      </w:r>
      <w:r>
        <w:rPr>
          <w:rFonts w:ascii="Arial" w:hAnsi="Arial" w:cs="Arial"/>
          <w:sz w:val="20"/>
          <w:szCs w:val="20"/>
        </w:rPr>
        <w:lastRenderedPageBreak/>
        <w:t>XI, da Resolução CMN nº 4.966, já que são instrumentos financeiros cujo valor varia em decorrência de variáveis como a taxa de câmbio, sendo que sua liquidação ocorre em data futura. Essa transição impacta diretamente a forma como essas operações são tratadas contábil e financeiramente, sendo agora mensuradas a Valor Justo no Resultado (VJR).</w:t>
      </w:r>
    </w:p>
    <w:p w14:paraId="7F233A1A" w14:textId="77777777" w:rsidR="00BA3275" w:rsidRDefault="00000000">
      <w:pPr>
        <w:pStyle w:val="NormalWeb"/>
        <w:jc w:val="both"/>
      </w:pPr>
      <w:r>
        <w:rPr>
          <w:rFonts w:ascii="Arial" w:hAnsi="Arial" w:cs="Arial"/>
          <w:sz w:val="20"/>
          <w:szCs w:val="20"/>
        </w:rPr>
        <w:t>As operações com outros instrumentos financeiros derivativos, são registradas de acordo com as características do contrato.</w:t>
      </w:r>
    </w:p>
    <w:p w14:paraId="0578FE05" w14:textId="77777777" w:rsidR="00BA3275" w:rsidRDefault="00000000">
      <w:pPr>
        <w:pStyle w:val="NormalWeb"/>
        <w:jc w:val="both"/>
      </w:pPr>
      <w:r>
        <w:rPr>
          <w:rFonts w:ascii="Arial" w:hAnsi="Arial" w:cs="Arial"/>
          <w:sz w:val="20"/>
          <w:szCs w:val="20"/>
        </w:rPr>
        <w:t>No período findo em 30 de junho de 2025, a Cooperativa não realizou operações envolvendo instrumentos financeiros derivativos.</w:t>
      </w:r>
    </w:p>
    <w:p w14:paraId="0DB5C1FD" w14:textId="77777777" w:rsidR="00BA3275" w:rsidRDefault="00000000">
      <w:pPr>
        <w:pStyle w:val="NormalWeb"/>
      </w:pPr>
      <w:r>
        <w:rPr>
          <w:rFonts w:ascii="Arial" w:hAnsi="Arial" w:cs="Arial"/>
          <w:b/>
          <w:bCs/>
          <w:sz w:val="20"/>
          <w:szCs w:val="20"/>
        </w:rPr>
        <w:t xml:space="preserve">3.6 Método de Taxa Efetiva de Juros </w:t>
      </w:r>
    </w:p>
    <w:p w14:paraId="10DFB4EB" w14:textId="77777777" w:rsidR="00BA3275" w:rsidRDefault="00000000">
      <w:pPr>
        <w:pStyle w:val="NormalWeb"/>
        <w:jc w:val="both"/>
      </w:pPr>
      <w:r>
        <w:rPr>
          <w:rFonts w:ascii="Arial" w:hAnsi="Arial" w:cs="Arial"/>
          <w:sz w:val="20"/>
          <w:szCs w:val="20"/>
        </w:rPr>
        <w:t>A taxa efetiva de juros é a taxa que desconta exatamente os pagamentos e recebimentos futuros em caixa ao longo da vida esperada do ativo ou passivo financeiro (ou, se apropriado, um período inferior) até atingir-se o valor de registro do ativo ou passivo financeiro.</w:t>
      </w:r>
    </w:p>
    <w:p w14:paraId="712C6313" w14:textId="77777777" w:rsidR="00BA3275" w:rsidRDefault="00000000">
      <w:pPr>
        <w:pStyle w:val="NormalWeb"/>
        <w:jc w:val="both"/>
      </w:pPr>
      <w:r>
        <w:rPr>
          <w:rFonts w:ascii="Arial" w:hAnsi="Arial" w:cs="Arial"/>
          <w:sz w:val="20"/>
          <w:szCs w:val="20"/>
        </w:rPr>
        <w:t>A taxa efetiva de juros é estabelecida quando do reconhecimento inicial do ativo ou passivo financeiro.</w:t>
      </w:r>
    </w:p>
    <w:p w14:paraId="4EE1C996" w14:textId="77777777" w:rsidR="00BA3275" w:rsidRDefault="00000000">
      <w:pPr>
        <w:pStyle w:val="NormalWeb"/>
        <w:jc w:val="both"/>
      </w:pPr>
      <w:r>
        <w:rPr>
          <w:rFonts w:ascii="Arial" w:hAnsi="Arial" w:cs="Arial"/>
          <w:sz w:val="20"/>
          <w:szCs w:val="20"/>
        </w:rPr>
        <w:t>O cálculo da taxa efetiva de juros inclui os custos de transação identificados como elegíveis, como por exemplo:</w:t>
      </w:r>
    </w:p>
    <w:p w14:paraId="46FF58BB" w14:textId="77777777" w:rsidR="00BA3275" w:rsidRDefault="00000000">
      <w:pPr>
        <w:pStyle w:val="NormalWeb"/>
      </w:pPr>
      <w:r>
        <w:rPr>
          <w:rFonts w:ascii="Arial" w:hAnsi="Arial" w:cs="Arial"/>
          <w:sz w:val="20"/>
          <w:szCs w:val="20"/>
        </w:rPr>
        <w:t>- Receita com tarifas e taxas atreladas a concessão das operações;</w:t>
      </w:r>
    </w:p>
    <w:p w14:paraId="4CFBE496" w14:textId="77777777" w:rsidR="00BA3275" w:rsidRDefault="00000000">
      <w:pPr>
        <w:pStyle w:val="NormalWeb"/>
      </w:pPr>
      <w:r>
        <w:rPr>
          <w:rFonts w:ascii="Arial" w:hAnsi="Arial" w:cs="Arial"/>
          <w:sz w:val="20"/>
          <w:szCs w:val="20"/>
        </w:rPr>
        <w:t>- Despesa com empresas especializadas (análise documental, cobrança, serviços de vistorias e avaliações);</w:t>
      </w:r>
    </w:p>
    <w:p w14:paraId="767D227C" w14:textId="77777777" w:rsidR="00BA3275" w:rsidRDefault="00000000">
      <w:pPr>
        <w:pStyle w:val="NormalWeb"/>
      </w:pPr>
      <w:r>
        <w:rPr>
          <w:rFonts w:ascii="Arial" w:hAnsi="Arial" w:cs="Arial"/>
          <w:sz w:val="20"/>
          <w:szCs w:val="20"/>
        </w:rPr>
        <w:t>- Despesa com comissões e portabilidade de operações.</w:t>
      </w:r>
    </w:p>
    <w:p w14:paraId="39A0E0A4" w14:textId="77777777" w:rsidR="00BA3275" w:rsidRDefault="00000000">
      <w:pPr>
        <w:pStyle w:val="NormalWeb"/>
        <w:jc w:val="both"/>
      </w:pPr>
      <w:r>
        <w:rPr>
          <w:rFonts w:ascii="Arial" w:hAnsi="Arial" w:cs="Arial"/>
          <w:sz w:val="20"/>
          <w:szCs w:val="20"/>
        </w:rPr>
        <w:t>Os custos da transação são custos incrementais diretamente atribuíveis à aquisição, emissão ou alienação de um ativo ou passivo financeiro. Conforme requisitos determinados pela Resolução BCB 352/23, a Cooperativa optou em utilizar a “metodologia diferenciada linear” para operações de crédito e com características de crédito.</w:t>
      </w:r>
    </w:p>
    <w:p w14:paraId="6BD6B523" w14:textId="77777777" w:rsidR="00BA3275" w:rsidRDefault="00000000">
      <w:pPr>
        <w:pStyle w:val="NormalWeb"/>
        <w:jc w:val="both"/>
      </w:pPr>
      <w:r>
        <w:rPr>
          <w:rFonts w:ascii="Arial" w:hAnsi="Arial" w:cs="Arial"/>
          <w:sz w:val="20"/>
          <w:szCs w:val="20"/>
        </w:rPr>
        <w:t>O Sicoob, conforme estabelece a Resolução CMN n.º 4.966/2021, adotou de forma prospectiva a TJEO e passou a considerar os custos e receitas originados nas novas transações e que sejam qualificáveis para a aplicação da metodologia da taxa efetiva de juros para as novas operações, a partir de 1º de janeiro de 2025. Desta forma, estes custos e receitas foram incorporados aos saldos contábeis brutos das transações e reconhecidos no resultado.</w:t>
      </w:r>
    </w:p>
    <w:p w14:paraId="26EFFD72" w14:textId="77777777" w:rsidR="00BA3275" w:rsidRDefault="00000000">
      <w:pPr>
        <w:pStyle w:val="NormalWeb"/>
      </w:pPr>
      <w:r>
        <w:rPr>
          <w:rFonts w:ascii="Arial" w:hAnsi="Arial" w:cs="Arial"/>
          <w:b/>
          <w:bCs/>
          <w:sz w:val="20"/>
          <w:szCs w:val="20"/>
        </w:rPr>
        <w:t>3.7 Suspensão dos Juros (stop accrual)</w:t>
      </w:r>
    </w:p>
    <w:p w14:paraId="5FDAD075" w14:textId="77777777" w:rsidR="00BA3275" w:rsidRDefault="00000000">
      <w:pPr>
        <w:pStyle w:val="NormalWeb"/>
        <w:jc w:val="both"/>
      </w:pPr>
      <w:r>
        <w:rPr>
          <w:rFonts w:ascii="Arial" w:hAnsi="Arial" w:cs="Arial"/>
          <w:sz w:val="20"/>
          <w:szCs w:val="20"/>
        </w:rPr>
        <w:t>De acordo com a Resolução CMN n.º 4.966/2021, a suspensão de juros de um contrato deve ocorrer quando o ativo for marcado com problemas de recuperação (caracterização do ativo problemático – Estágio 3), diferentemente do que estabelecia a Resolução CMN n.º 2.682/1999, cujo parâmetro para suspensão dos juros era apenas para as operações que apresentassem atrasos superiores a 59 (cinquenta e nove dias).</w:t>
      </w:r>
    </w:p>
    <w:p w14:paraId="687C14BC" w14:textId="77777777" w:rsidR="00BA3275" w:rsidRDefault="00000000">
      <w:pPr>
        <w:pStyle w:val="NormalWeb"/>
        <w:jc w:val="both"/>
      </w:pPr>
      <w:r>
        <w:rPr>
          <w:rFonts w:ascii="Arial" w:hAnsi="Arial" w:cs="Arial"/>
          <w:sz w:val="20"/>
          <w:szCs w:val="20"/>
        </w:rPr>
        <w:t>Dentre os critérios para marcação de ativo problemático, inclui-se operações com atraso superior a 90 (noventa) dias.</w:t>
      </w:r>
    </w:p>
    <w:p w14:paraId="7B345047" w14:textId="77777777" w:rsidR="00BA3275" w:rsidRDefault="00000000">
      <w:pPr>
        <w:pStyle w:val="NormalWeb"/>
        <w:jc w:val="both"/>
      </w:pPr>
      <w:r>
        <w:rPr>
          <w:rFonts w:ascii="Arial" w:hAnsi="Arial" w:cs="Arial"/>
          <w:sz w:val="20"/>
          <w:szCs w:val="20"/>
        </w:rPr>
        <w:t>Conforme diretrizes constantes no Comunicado BCB n° 42.403/2024, a Cooperativa adotou na carteira de crédito, o ajuste da posição de suspensão de juros (stop accrual) realizado nas operações em 31 de dezembro de 2024, mas que não atendam à condição de ativos problemáticos.</w:t>
      </w:r>
    </w:p>
    <w:p w14:paraId="20F8A7C9" w14:textId="77777777" w:rsidR="00BA3275" w:rsidRDefault="00000000">
      <w:pPr>
        <w:pStyle w:val="NormalWeb"/>
      </w:pPr>
      <w:r>
        <w:rPr>
          <w:rFonts w:ascii="Arial" w:hAnsi="Arial" w:cs="Arial"/>
          <w:b/>
          <w:bCs/>
          <w:sz w:val="20"/>
          <w:szCs w:val="20"/>
        </w:rPr>
        <w:t xml:space="preserve">3.8 Provisão para Perdas </w:t>
      </w:r>
    </w:p>
    <w:p w14:paraId="7E498463" w14:textId="77777777" w:rsidR="00BA3275" w:rsidRDefault="00000000">
      <w:pPr>
        <w:pStyle w:val="NormalWeb"/>
        <w:jc w:val="both"/>
      </w:pPr>
      <w:r>
        <w:rPr>
          <w:rFonts w:ascii="Arial" w:hAnsi="Arial" w:cs="Arial"/>
          <w:b/>
          <w:bCs/>
          <w:sz w:val="20"/>
          <w:szCs w:val="20"/>
        </w:rPr>
        <w:t>I. Visão Geral</w:t>
      </w:r>
    </w:p>
    <w:p w14:paraId="6568B6E9" w14:textId="77777777" w:rsidR="00BA3275" w:rsidRDefault="00000000">
      <w:pPr>
        <w:pStyle w:val="NormalWeb"/>
        <w:jc w:val="both"/>
      </w:pPr>
      <w:r>
        <w:rPr>
          <w:rFonts w:ascii="Arial" w:hAnsi="Arial" w:cs="Arial"/>
          <w:sz w:val="20"/>
          <w:szCs w:val="20"/>
        </w:rPr>
        <w:lastRenderedPageBreak/>
        <w:t>A Cooperativa realiza a constituição de provisão para perdas esperadas associadas ao risco de crédito pela Metodologia Completa, de acordo com os critérios da Resolução CMN nº 4.966/21 e Resolução BCB n° 352/23 para:</w:t>
      </w:r>
    </w:p>
    <w:p w14:paraId="7D3DE6AD" w14:textId="77777777" w:rsidR="00BA3275" w:rsidRDefault="00000000">
      <w:pPr>
        <w:pStyle w:val="NormalWeb"/>
      </w:pPr>
      <w:r>
        <w:rPr>
          <w:rFonts w:ascii="Arial" w:hAnsi="Arial" w:cs="Arial"/>
          <w:sz w:val="20"/>
          <w:szCs w:val="20"/>
        </w:rPr>
        <w:t>Aplicações interfinanceiras de liquidez;</w:t>
      </w:r>
    </w:p>
    <w:p w14:paraId="4AC7797A" w14:textId="77777777" w:rsidR="00BA3275" w:rsidRDefault="00000000">
      <w:pPr>
        <w:pStyle w:val="NormalWeb"/>
      </w:pPr>
      <w:r>
        <w:rPr>
          <w:rFonts w:ascii="Arial" w:hAnsi="Arial" w:cs="Arial"/>
          <w:sz w:val="20"/>
          <w:szCs w:val="20"/>
        </w:rPr>
        <w:t>Títulos e valores mobiliários (mensurados a custo amortizado e “VJORA”);</w:t>
      </w:r>
    </w:p>
    <w:p w14:paraId="618C1642" w14:textId="77777777" w:rsidR="00BA3275" w:rsidRDefault="00000000">
      <w:pPr>
        <w:pStyle w:val="NormalWeb"/>
      </w:pPr>
      <w:r>
        <w:rPr>
          <w:rFonts w:ascii="Arial" w:hAnsi="Arial" w:cs="Arial"/>
          <w:sz w:val="20"/>
          <w:szCs w:val="20"/>
        </w:rPr>
        <w:t>Operações de créditos;</w:t>
      </w:r>
    </w:p>
    <w:p w14:paraId="563ED31E" w14:textId="77777777" w:rsidR="00BA3275" w:rsidRDefault="00000000">
      <w:pPr>
        <w:pStyle w:val="NormalWeb"/>
      </w:pPr>
      <w:r>
        <w:rPr>
          <w:rFonts w:ascii="Arial" w:hAnsi="Arial" w:cs="Arial"/>
          <w:sz w:val="20"/>
          <w:szCs w:val="20"/>
        </w:rPr>
        <w:t>Outros ativos financeiros; e</w:t>
      </w:r>
    </w:p>
    <w:p w14:paraId="43360A61" w14:textId="77777777" w:rsidR="00BA3275" w:rsidRDefault="00000000">
      <w:pPr>
        <w:pStyle w:val="NormalWeb"/>
      </w:pPr>
      <w:r>
        <w:rPr>
          <w:rFonts w:ascii="Arial" w:hAnsi="Arial" w:cs="Arial"/>
          <w:sz w:val="20"/>
          <w:szCs w:val="20"/>
        </w:rPr>
        <w:t>Exposições “off-balance” (que gerem risco de crédito).</w:t>
      </w:r>
    </w:p>
    <w:p w14:paraId="0B38F4F9" w14:textId="77777777" w:rsidR="00BA3275" w:rsidRDefault="00000000">
      <w:pPr>
        <w:pStyle w:val="NormalWeb"/>
        <w:jc w:val="both"/>
      </w:pPr>
      <w:r>
        <w:rPr>
          <w:rFonts w:ascii="Arial" w:hAnsi="Arial" w:cs="Arial"/>
          <w:b/>
          <w:bCs/>
          <w:sz w:val="20"/>
          <w:szCs w:val="20"/>
        </w:rPr>
        <w:t>II. Estágios</w:t>
      </w:r>
    </w:p>
    <w:p w14:paraId="231A9DBF" w14:textId="77777777" w:rsidR="00BA3275" w:rsidRDefault="00000000">
      <w:pPr>
        <w:pStyle w:val="NormalWeb"/>
        <w:jc w:val="both"/>
      </w:pPr>
      <w:r>
        <w:rPr>
          <w:rFonts w:ascii="Arial" w:hAnsi="Arial" w:cs="Arial"/>
          <w:sz w:val="20"/>
          <w:szCs w:val="20"/>
        </w:rPr>
        <w:t>A Cooperativa aplica a abordagem de três estágios para mensurar a perda de crédito esperada, na qual os ativos financeiros migram de um estágio para outro de acordo com as mudanças no risco de crédito.</w:t>
      </w:r>
    </w:p>
    <w:p w14:paraId="4F225F15" w14:textId="77777777" w:rsidR="00BA3275" w:rsidRDefault="00000000">
      <w:pPr>
        <w:pStyle w:val="NormalWeb"/>
        <w:jc w:val="both"/>
      </w:pPr>
      <w:r>
        <w:rPr>
          <w:rFonts w:ascii="Arial" w:hAnsi="Arial" w:cs="Arial"/>
          <w:b/>
          <w:bCs/>
          <w:sz w:val="20"/>
          <w:szCs w:val="20"/>
        </w:rPr>
        <w:t>Estágio 1:</w:t>
      </w:r>
      <w:r>
        <w:rPr>
          <w:rFonts w:ascii="Arial" w:hAnsi="Arial" w:cs="Arial"/>
          <w:sz w:val="20"/>
          <w:szCs w:val="20"/>
        </w:rPr>
        <w:t xml:space="preserve"> refere-se aos instrumentos financeiros sem aumento significativo do risco de crédito em relação à data da originação do crédito. Para esses casos, a probabilidade de default considerada no modelo de perda estimada é calculada para os próximos 12 meses apenas.</w:t>
      </w:r>
    </w:p>
    <w:p w14:paraId="74A69965" w14:textId="77777777" w:rsidR="00BA3275" w:rsidRDefault="00000000">
      <w:pPr>
        <w:pStyle w:val="NormalWeb"/>
        <w:jc w:val="both"/>
      </w:pPr>
      <w:r>
        <w:rPr>
          <w:rFonts w:ascii="Arial" w:hAnsi="Arial" w:cs="Arial"/>
          <w:b/>
          <w:bCs/>
          <w:sz w:val="20"/>
          <w:szCs w:val="20"/>
        </w:rPr>
        <w:t>Estágio 2:</w:t>
      </w:r>
      <w:r>
        <w:rPr>
          <w:rFonts w:ascii="Arial" w:hAnsi="Arial" w:cs="Arial"/>
          <w:sz w:val="20"/>
          <w:szCs w:val="20"/>
        </w:rPr>
        <w:t xml:space="preserve"> refere-se aos instrumentos financeiros com aumento significativo do risco de crédito, mas que ainda não entraram em recuperação de crédito (sem default). Para esses casos, a probabilidade de default considerada no modelo é estimada para todo o prazo contratual do instrumento financeiro </w:t>
      </w:r>
      <w:r>
        <w:rPr>
          <w:rFonts w:ascii="Arial" w:hAnsi="Arial" w:cs="Arial"/>
          <w:i/>
          <w:iCs/>
          <w:sz w:val="20"/>
          <w:szCs w:val="20"/>
        </w:rPr>
        <w:t>(</w:t>
      </w:r>
      <w:proofErr w:type="spellStart"/>
      <w:r>
        <w:rPr>
          <w:rFonts w:ascii="Arial" w:hAnsi="Arial" w:cs="Arial"/>
          <w:i/>
          <w:iCs/>
          <w:sz w:val="20"/>
          <w:szCs w:val="20"/>
        </w:rPr>
        <w:t>lifetime</w:t>
      </w:r>
      <w:proofErr w:type="spellEnd"/>
      <w:r>
        <w:rPr>
          <w:rFonts w:ascii="Arial" w:hAnsi="Arial" w:cs="Arial"/>
          <w:i/>
          <w:iCs/>
          <w:sz w:val="20"/>
          <w:szCs w:val="20"/>
        </w:rPr>
        <w:t>).</w:t>
      </w:r>
    </w:p>
    <w:p w14:paraId="36579FB1" w14:textId="77777777" w:rsidR="00BA3275" w:rsidRDefault="00000000">
      <w:pPr>
        <w:pStyle w:val="NormalWeb"/>
        <w:jc w:val="both"/>
      </w:pPr>
      <w:r>
        <w:rPr>
          <w:rFonts w:ascii="Arial" w:hAnsi="Arial" w:cs="Arial"/>
          <w:b/>
          <w:bCs/>
          <w:sz w:val="20"/>
          <w:szCs w:val="20"/>
        </w:rPr>
        <w:t>Estágio 3:</w:t>
      </w:r>
      <w:r>
        <w:rPr>
          <w:rFonts w:ascii="Arial" w:hAnsi="Arial" w:cs="Arial"/>
          <w:sz w:val="20"/>
          <w:szCs w:val="20"/>
        </w:rPr>
        <w:t xml:space="preserve"> refere-se a instrumentos financeiros em recuperação de crédito (em default). Para esses casos, para fins de reconhecimento de perdas é reconhecido o maior valor de perda entre:</w:t>
      </w:r>
    </w:p>
    <w:p w14:paraId="5A9627A2" w14:textId="77777777" w:rsidR="00BA3275" w:rsidRDefault="00000000">
      <w:pPr>
        <w:pStyle w:val="NormalWeb"/>
      </w:pPr>
      <w:r>
        <w:rPr>
          <w:rFonts w:ascii="Arial" w:hAnsi="Arial" w:cs="Arial"/>
          <w:sz w:val="20"/>
          <w:szCs w:val="20"/>
        </w:rPr>
        <w:t>A PE calculada com base nos dados observados estatísticos da Cooperativa; ou</w:t>
      </w:r>
    </w:p>
    <w:p w14:paraId="4D7B65FD" w14:textId="77777777" w:rsidR="00BA3275" w:rsidRDefault="00000000">
      <w:pPr>
        <w:pStyle w:val="NormalWeb"/>
      </w:pPr>
      <w:r>
        <w:rPr>
          <w:rFonts w:ascii="Arial" w:hAnsi="Arial" w:cs="Arial"/>
          <w:sz w:val="20"/>
          <w:szCs w:val="20"/>
        </w:rPr>
        <w:t>O piso de Estágio 3 determinado pela Resolução BCB n° 352 de 2023 (anexo 1 da normativa – “Provisão para perdas incorridas aplicável aos ativos financeiros inadimplidos”).</w:t>
      </w:r>
    </w:p>
    <w:p w14:paraId="12048995" w14:textId="77777777" w:rsidR="00BA3275" w:rsidRDefault="00000000">
      <w:pPr>
        <w:pStyle w:val="NormalWeb"/>
        <w:jc w:val="both"/>
      </w:pPr>
      <w:r>
        <w:rPr>
          <w:rFonts w:ascii="Arial" w:hAnsi="Arial" w:cs="Arial"/>
          <w:b/>
          <w:bCs/>
          <w:sz w:val="20"/>
          <w:szCs w:val="20"/>
        </w:rPr>
        <w:t>III. Aumento significativo no risco de crédito</w:t>
      </w:r>
    </w:p>
    <w:p w14:paraId="531ED778" w14:textId="77777777" w:rsidR="00BA3275" w:rsidRDefault="00000000">
      <w:pPr>
        <w:pStyle w:val="NormalWeb"/>
        <w:jc w:val="both"/>
      </w:pPr>
      <w:r>
        <w:rPr>
          <w:rFonts w:ascii="Arial" w:hAnsi="Arial" w:cs="Arial"/>
          <w:sz w:val="20"/>
          <w:szCs w:val="20"/>
        </w:rPr>
        <w:t>O conceito de risco de crédito da operação é baseado na probabilidade de default para sua vida toda. Originalmente quando a operação é concedida pela Cooperativa é registrada em estágio 1 e, posteriormente, a cada data base, a Cooperativa avalia se o ativo apresentou aumento significativo no risco de crédito desde o reconhecimento inicial.</w:t>
      </w:r>
    </w:p>
    <w:p w14:paraId="613CF53A" w14:textId="77777777" w:rsidR="00BA3275" w:rsidRDefault="00000000">
      <w:pPr>
        <w:pStyle w:val="NormalWeb"/>
        <w:jc w:val="both"/>
      </w:pPr>
      <w:r>
        <w:rPr>
          <w:rFonts w:ascii="Arial" w:hAnsi="Arial" w:cs="Arial"/>
          <w:sz w:val="20"/>
          <w:szCs w:val="20"/>
        </w:rPr>
        <w:t>Em caso positivo, esta operação deve passar a ser considerada em estágio 2, ou ainda se o ativo, além de apresentar aumento significativo no risco de crédito, demonstrar evidência objetiva de recuperação de crédito, será alocado em estágio 3. Por fim, se a operação, além de apresentar a evidência de recuperação de crédito, tiver estimativas insignificantes de recuperação, esta deve ser baixada para prejuízo.</w:t>
      </w:r>
    </w:p>
    <w:p w14:paraId="7A989BB7" w14:textId="77777777" w:rsidR="00BA3275" w:rsidRDefault="00000000">
      <w:pPr>
        <w:pStyle w:val="NormalWeb"/>
        <w:jc w:val="both"/>
      </w:pPr>
      <w:r>
        <w:rPr>
          <w:rFonts w:ascii="Arial" w:hAnsi="Arial" w:cs="Arial"/>
          <w:sz w:val="20"/>
          <w:szCs w:val="20"/>
        </w:rPr>
        <w:t>As definições de aumento significativo e evidência de ativo problemático, são baseadas não apenas em aspectos qualitativos e prospectivos (projeções de modelos de probabilidade de default), mas também no atraso efetivo do ativo financeiro.</w:t>
      </w:r>
    </w:p>
    <w:p w14:paraId="4B9AC007" w14:textId="77777777" w:rsidR="00BA3275" w:rsidRDefault="00000000">
      <w:pPr>
        <w:pStyle w:val="NormalWeb"/>
        <w:jc w:val="both"/>
      </w:pPr>
      <w:r>
        <w:rPr>
          <w:rFonts w:ascii="Arial" w:hAnsi="Arial" w:cs="Arial"/>
          <w:sz w:val="20"/>
          <w:szCs w:val="20"/>
        </w:rPr>
        <w:t>Os ativos que devem ser considerados como estágio 2 são aqueles com aumento significativo do risco de crédito desde o reconhecimento inicial, tendo como premissa refutável o atraso em 30 dias (limitado a 60 dias).</w:t>
      </w:r>
    </w:p>
    <w:p w14:paraId="0AC5B2D3" w14:textId="77777777" w:rsidR="00BA3275" w:rsidRDefault="00000000">
      <w:pPr>
        <w:pStyle w:val="NormalWeb"/>
        <w:jc w:val="both"/>
      </w:pPr>
      <w:r>
        <w:rPr>
          <w:rFonts w:ascii="Arial" w:hAnsi="Arial" w:cs="Arial"/>
          <w:sz w:val="20"/>
          <w:szCs w:val="20"/>
        </w:rPr>
        <w:t>Em estágio 3 devem ser todos os contratos que têm evidência de problema de recuperação de crédito. Essencialmente, a marcação de ativo problemático é dada quando um contrato atinge atraso de pagamento da dívida acima de 90 dias em atraso, marcação de reestruturação ou quando o cliente possui características que evidencie dificuldade de pagamento como quando ele está em situação de recuperação judicial.</w:t>
      </w:r>
    </w:p>
    <w:p w14:paraId="5D69F9CE" w14:textId="77777777" w:rsidR="00BA3275" w:rsidRDefault="00000000">
      <w:pPr>
        <w:pStyle w:val="NormalWeb"/>
        <w:jc w:val="both"/>
      </w:pPr>
      <w:r>
        <w:rPr>
          <w:rFonts w:ascii="Arial" w:hAnsi="Arial" w:cs="Arial"/>
          <w:b/>
          <w:bCs/>
          <w:sz w:val="20"/>
          <w:szCs w:val="20"/>
        </w:rPr>
        <w:lastRenderedPageBreak/>
        <w:t>IV. Cálculo da perda esperada</w:t>
      </w:r>
    </w:p>
    <w:p w14:paraId="45A133AB" w14:textId="77777777" w:rsidR="00BA3275" w:rsidRDefault="00000000">
      <w:pPr>
        <w:pStyle w:val="NormalWeb"/>
        <w:jc w:val="both"/>
      </w:pPr>
      <w:r>
        <w:rPr>
          <w:rFonts w:ascii="Arial" w:hAnsi="Arial" w:cs="Arial"/>
          <w:sz w:val="20"/>
          <w:szCs w:val="20"/>
        </w:rPr>
        <w:t>O cálculo da perda esperada visa gerar a expectativa das perdas em crédito ao longo de um dado horizonte de tempo, e engloba a avaliação de três parâmetros:</w:t>
      </w:r>
    </w:p>
    <w:p w14:paraId="54480D2C" w14:textId="77777777" w:rsidR="00BA3275" w:rsidRDefault="00000000">
      <w:pPr>
        <w:pStyle w:val="NormalWeb"/>
      </w:pPr>
      <w:r>
        <w:rPr>
          <w:rFonts w:ascii="Arial" w:hAnsi="Arial" w:cs="Arial"/>
          <w:b/>
          <w:bCs/>
          <w:sz w:val="20"/>
          <w:szCs w:val="20"/>
        </w:rPr>
        <w:t xml:space="preserve">Probabilidade de </w:t>
      </w:r>
      <w:r>
        <w:rPr>
          <w:rFonts w:ascii="Arial" w:hAnsi="Arial" w:cs="Arial"/>
          <w:b/>
          <w:bCs/>
          <w:i/>
          <w:iCs/>
          <w:sz w:val="20"/>
          <w:szCs w:val="20"/>
        </w:rPr>
        <w:t>default</w:t>
      </w:r>
      <w:r>
        <w:rPr>
          <w:rFonts w:ascii="Arial" w:hAnsi="Arial" w:cs="Arial"/>
          <w:b/>
          <w:bCs/>
          <w:sz w:val="20"/>
          <w:szCs w:val="20"/>
        </w:rPr>
        <w:t xml:space="preserve"> – PD: </w:t>
      </w:r>
      <w:r>
        <w:rPr>
          <w:rFonts w:ascii="Arial" w:hAnsi="Arial" w:cs="Arial"/>
          <w:sz w:val="20"/>
          <w:szCs w:val="20"/>
        </w:rPr>
        <w:t>A PD é a probabilidade futura de um ativo entrar em inadimplemento em uma janela de tempo determinada;</w:t>
      </w:r>
    </w:p>
    <w:p w14:paraId="6B2E39F5" w14:textId="77777777" w:rsidR="00BA3275" w:rsidRDefault="00000000">
      <w:pPr>
        <w:pStyle w:val="NormalWeb"/>
      </w:pPr>
      <w:r>
        <w:rPr>
          <w:rFonts w:ascii="Arial" w:hAnsi="Arial" w:cs="Arial"/>
          <w:b/>
          <w:bCs/>
          <w:sz w:val="20"/>
          <w:szCs w:val="20"/>
        </w:rPr>
        <w:t>Perda dada ao d</w:t>
      </w:r>
      <w:r>
        <w:rPr>
          <w:rFonts w:ascii="Arial" w:hAnsi="Arial" w:cs="Arial"/>
          <w:b/>
          <w:bCs/>
          <w:i/>
          <w:iCs/>
          <w:sz w:val="20"/>
          <w:szCs w:val="20"/>
        </w:rPr>
        <w:t>efault</w:t>
      </w:r>
      <w:r>
        <w:rPr>
          <w:rFonts w:ascii="Arial" w:hAnsi="Arial" w:cs="Arial"/>
          <w:b/>
          <w:bCs/>
          <w:sz w:val="20"/>
          <w:szCs w:val="20"/>
        </w:rPr>
        <w:t xml:space="preserve"> – LGD: </w:t>
      </w:r>
      <w:r>
        <w:rPr>
          <w:rFonts w:ascii="Arial" w:hAnsi="Arial" w:cs="Arial"/>
          <w:sz w:val="20"/>
          <w:szCs w:val="20"/>
        </w:rPr>
        <w:t>A LGD é o percentual esperado de perda de um cliente dado o default. É um componente importante para a modelagem do risco de crédito da Cooperativa para que consiga através de modelos mensurar qual é a probabilidade esperada de perda dada a contratação/renovação de contratos e clientes, podendo estender análises específicas para os diferentes tipos de garantias, percentual de cobertura das garantias, entre outras informações do cliente.</w:t>
      </w:r>
    </w:p>
    <w:p w14:paraId="67725833" w14:textId="77777777" w:rsidR="00BA3275" w:rsidRDefault="00000000">
      <w:pPr>
        <w:pStyle w:val="NormalWeb"/>
      </w:pPr>
      <w:r>
        <w:rPr>
          <w:rFonts w:ascii="Arial" w:hAnsi="Arial" w:cs="Arial"/>
          <w:b/>
          <w:bCs/>
          <w:sz w:val="20"/>
          <w:szCs w:val="20"/>
        </w:rPr>
        <w:t xml:space="preserve">Exposição ao </w:t>
      </w:r>
      <w:r>
        <w:rPr>
          <w:rFonts w:ascii="Arial" w:hAnsi="Arial" w:cs="Arial"/>
          <w:b/>
          <w:bCs/>
          <w:i/>
          <w:iCs/>
          <w:sz w:val="20"/>
          <w:szCs w:val="20"/>
        </w:rPr>
        <w:t>default</w:t>
      </w:r>
      <w:r>
        <w:rPr>
          <w:rFonts w:ascii="Arial" w:hAnsi="Arial" w:cs="Arial"/>
          <w:b/>
          <w:bCs/>
          <w:sz w:val="20"/>
          <w:szCs w:val="20"/>
        </w:rPr>
        <w:t xml:space="preserve"> – EAD:</w:t>
      </w:r>
      <w:r>
        <w:rPr>
          <w:rFonts w:ascii="Arial" w:hAnsi="Arial" w:cs="Arial"/>
          <w:sz w:val="20"/>
          <w:szCs w:val="20"/>
        </w:rPr>
        <w:t xml:space="preserve"> É a exposição na data da inadimplência.</w:t>
      </w:r>
    </w:p>
    <w:p w14:paraId="28AE8175" w14:textId="77777777" w:rsidR="00BA3275" w:rsidRDefault="00000000">
      <w:pPr>
        <w:pStyle w:val="NormalWeb"/>
        <w:jc w:val="both"/>
      </w:pPr>
      <w:r>
        <w:rPr>
          <w:rFonts w:ascii="Arial" w:hAnsi="Arial" w:cs="Arial"/>
          <w:sz w:val="20"/>
          <w:szCs w:val="20"/>
        </w:rPr>
        <w:t xml:space="preserve">Adicionalmente, a Resolução CMN nº 4.966 de 2021, determina que todos os modelos tenham inclusão de variáveis preditivas de fatores macroeconômicos para proporcionar uma visão do risco à exposição dos fatores exógenos, preparar e antecipar as instituições na avaliação de impactos em eventos extremos (cenários sob estresses). Em outras palavras, as variáveis </w:t>
      </w:r>
      <w:proofErr w:type="spellStart"/>
      <w:r>
        <w:rPr>
          <w:rFonts w:ascii="Arial" w:hAnsi="Arial" w:cs="Arial"/>
          <w:sz w:val="20"/>
          <w:szCs w:val="20"/>
        </w:rPr>
        <w:t>forward</w:t>
      </w:r>
      <w:proofErr w:type="spellEnd"/>
      <w:r>
        <w:rPr>
          <w:rFonts w:ascii="Arial" w:hAnsi="Arial" w:cs="Arial"/>
          <w:sz w:val="20"/>
          <w:szCs w:val="20"/>
        </w:rPr>
        <w:t xml:space="preserve"> </w:t>
      </w:r>
      <w:proofErr w:type="spellStart"/>
      <w:r>
        <w:rPr>
          <w:rFonts w:ascii="Arial" w:hAnsi="Arial" w:cs="Arial"/>
          <w:sz w:val="20"/>
          <w:szCs w:val="20"/>
        </w:rPr>
        <w:t>looking</w:t>
      </w:r>
      <w:proofErr w:type="spellEnd"/>
      <w:r>
        <w:rPr>
          <w:rFonts w:ascii="Arial" w:hAnsi="Arial" w:cs="Arial"/>
          <w:sz w:val="20"/>
          <w:szCs w:val="20"/>
        </w:rPr>
        <w:t xml:space="preserve"> funcionam como uma calibragem dos modelos sob efeitos macroeconômicos ou política de crédito.</w:t>
      </w:r>
    </w:p>
    <w:p w14:paraId="49A932AE" w14:textId="77777777" w:rsidR="00BA3275" w:rsidRDefault="00000000">
      <w:pPr>
        <w:pStyle w:val="NormalWeb"/>
      </w:pPr>
      <w:r>
        <w:rPr>
          <w:rFonts w:ascii="Arial" w:hAnsi="Arial" w:cs="Arial"/>
          <w:b/>
          <w:bCs/>
          <w:sz w:val="20"/>
          <w:szCs w:val="20"/>
        </w:rPr>
        <w:t>3.9 Ativos Financeiro com Problema de Recuperação de Crédito</w:t>
      </w:r>
    </w:p>
    <w:p w14:paraId="7B0A1A7E" w14:textId="77777777" w:rsidR="00BA3275" w:rsidRDefault="00000000">
      <w:pPr>
        <w:pStyle w:val="NormalWeb"/>
        <w:jc w:val="both"/>
      </w:pPr>
      <w:r>
        <w:rPr>
          <w:rFonts w:ascii="Arial" w:hAnsi="Arial" w:cs="Arial"/>
          <w:sz w:val="20"/>
          <w:szCs w:val="20"/>
        </w:rPr>
        <w:t>O ativo financeiro é caracterizado como “Ativo Problemático” quando:</w:t>
      </w:r>
    </w:p>
    <w:p w14:paraId="4DA75972" w14:textId="77777777" w:rsidR="00BA3275" w:rsidRDefault="00000000">
      <w:pPr>
        <w:pStyle w:val="NormalWeb"/>
        <w:jc w:val="both"/>
      </w:pPr>
      <w:r>
        <w:rPr>
          <w:rFonts w:ascii="Arial" w:hAnsi="Arial" w:cs="Arial"/>
          <w:sz w:val="20"/>
          <w:szCs w:val="20"/>
        </w:rPr>
        <w:t>Operações reestruturadas são renegociação que impliquem em concessões significativas à contraparte, em decorrência da deterioração relevante de sua qualidade creditícia, as quais não seriam concedidas caso não ocorresse tal deterioração.</w:t>
      </w:r>
    </w:p>
    <w:p w14:paraId="281F460E" w14:textId="77777777" w:rsidR="00BA3275" w:rsidRDefault="00000000">
      <w:pPr>
        <w:pStyle w:val="NormalWeb"/>
        <w:jc w:val="both"/>
      </w:pPr>
      <w:r>
        <w:rPr>
          <w:rFonts w:ascii="Arial" w:hAnsi="Arial" w:cs="Arial"/>
          <w:sz w:val="20"/>
          <w:szCs w:val="20"/>
        </w:rPr>
        <w:t xml:space="preserve">Os instrumentos financeiros são alocados em estágios (estágio 1, estágio 2 e estágio 3) e classificados em Carteiras (C1 a C5) com base na modalidade, </w:t>
      </w:r>
      <w:proofErr w:type="spellStart"/>
      <w:r>
        <w:rPr>
          <w:rFonts w:ascii="Arial" w:hAnsi="Arial" w:cs="Arial"/>
          <w:sz w:val="20"/>
          <w:szCs w:val="20"/>
        </w:rPr>
        <w:t>submodalidade</w:t>
      </w:r>
      <w:proofErr w:type="spellEnd"/>
      <w:r>
        <w:rPr>
          <w:rFonts w:ascii="Arial" w:hAnsi="Arial" w:cs="Arial"/>
          <w:sz w:val="20"/>
          <w:szCs w:val="20"/>
        </w:rPr>
        <w:t xml:space="preserve"> e garantias e demais requisitos estipulados pela Resolução BCB 352/23. Ativos problemáticos (com problema de recuperação de crédito) são alocados no estágio 3, podendo em determinadas situações a marcação ser arrastada para outras operações de uma mesma contraparte ou grupo econômico.</w:t>
      </w:r>
    </w:p>
    <w:p w14:paraId="52CF402E" w14:textId="77777777" w:rsidR="00BA3275" w:rsidRDefault="00000000">
      <w:pPr>
        <w:pStyle w:val="NormalWeb"/>
        <w:jc w:val="both"/>
      </w:pPr>
      <w:r>
        <w:rPr>
          <w:rFonts w:ascii="Arial" w:hAnsi="Arial" w:cs="Arial"/>
          <w:sz w:val="20"/>
          <w:szCs w:val="20"/>
        </w:rPr>
        <w:t>O arrasto é realizado para a condição de Ativo Problemático não sendo observado situações de exclusão por materialidade. Os ativos financeiros são classificados em dois grupos para tratamento das carteiras, o atacado e o varejo. No atacado, todas as operações da contraparte e contrapartes conectadas são arrastadas, exceto as operações com risco significativamente menor. No varejo, todas as operações dentro do mesmo Grupo Homogêneo de Risco e mesma contraparte são arrastadas.</w:t>
      </w:r>
    </w:p>
    <w:p w14:paraId="73DE0E48" w14:textId="77777777" w:rsidR="00BA3275" w:rsidRDefault="00000000">
      <w:pPr>
        <w:pStyle w:val="NormalWeb"/>
        <w:jc w:val="both"/>
      </w:pPr>
      <w:r>
        <w:rPr>
          <w:rFonts w:ascii="Arial" w:hAnsi="Arial" w:cs="Arial"/>
          <w:sz w:val="20"/>
          <w:szCs w:val="20"/>
        </w:rPr>
        <w:t>O modelo interno de mensuração da provisão para perda esperada do Sicoob considera fatores, como: O risco do associado, o tipo de pessoa, os tipos de produtos, as garantias, os aspectos que evidenciam aumento de risco, os cenários macroeconômicos, e a caracterização de ativo problemático.</w:t>
      </w:r>
    </w:p>
    <w:p w14:paraId="28D6DDBD" w14:textId="77777777" w:rsidR="00BA3275" w:rsidRDefault="00000000">
      <w:pPr>
        <w:pStyle w:val="NormalWeb"/>
        <w:jc w:val="both"/>
      </w:pPr>
      <w:r>
        <w:rPr>
          <w:rFonts w:ascii="Arial" w:hAnsi="Arial" w:cs="Arial"/>
          <w:sz w:val="20"/>
          <w:szCs w:val="20"/>
        </w:rPr>
        <w:t>A perda incorrida é atribuída aos ativos inadimplidos de acordo com os percentuais mínimos definidos pelo Banco Central do Brasil (Resolução BCB nº 352/23). As diferenças entre os pisos mínimos e os percentuais do modelo interno do Sicoob, são tratados como perda esperada.</w:t>
      </w:r>
    </w:p>
    <w:p w14:paraId="56055F9E" w14:textId="77777777" w:rsidR="00BA3275" w:rsidRDefault="00000000">
      <w:pPr>
        <w:pStyle w:val="NormalWeb"/>
        <w:jc w:val="both"/>
      </w:pPr>
      <w:r>
        <w:rPr>
          <w:rFonts w:ascii="Arial" w:hAnsi="Arial" w:cs="Arial"/>
          <w:sz w:val="20"/>
          <w:szCs w:val="20"/>
        </w:rPr>
        <w:t>A cura de ativo problemático observa parâmetros definidos em modelo interno do Sicoob e é executada com periodicidade mensal.</w:t>
      </w:r>
    </w:p>
    <w:p w14:paraId="273226F0" w14:textId="77777777" w:rsidR="00BA3275" w:rsidRDefault="00000000">
      <w:pPr>
        <w:pStyle w:val="NormalWeb"/>
        <w:jc w:val="both"/>
      </w:pPr>
      <w:r>
        <w:rPr>
          <w:rFonts w:ascii="Arial" w:hAnsi="Arial" w:cs="Arial"/>
          <w:sz w:val="20"/>
          <w:szCs w:val="20"/>
        </w:rPr>
        <w:t>A contratação de operações e as ações para a recuperação de créditos em atraso em conformidade com as normas de crédito, utilizando sistemas informatizados e respeitando as condições de mercado.</w:t>
      </w:r>
    </w:p>
    <w:p w14:paraId="4A0C864D" w14:textId="77777777" w:rsidR="00BA3275" w:rsidRDefault="00000000">
      <w:pPr>
        <w:pStyle w:val="NormalWeb"/>
      </w:pPr>
      <w:r>
        <w:rPr>
          <w:rFonts w:ascii="Arial" w:hAnsi="Arial" w:cs="Arial"/>
          <w:b/>
          <w:bCs/>
          <w:sz w:val="20"/>
          <w:szCs w:val="20"/>
        </w:rPr>
        <w:t>3.10 Efeitos Tributários Cooperativas</w:t>
      </w:r>
    </w:p>
    <w:p w14:paraId="5D890BE4" w14:textId="77777777" w:rsidR="00BA3275" w:rsidRDefault="00000000">
      <w:pPr>
        <w:pStyle w:val="NormalWeb"/>
        <w:jc w:val="both"/>
      </w:pPr>
      <w:r>
        <w:rPr>
          <w:rFonts w:ascii="Arial" w:hAnsi="Arial" w:cs="Arial"/>
          <w:sz w:val="20"/>
          <w:szCs w:val="20"/>
        </w:rPr>
        <w:lastRenderedPageBreak/>
        <w:t>Em decorrência da adoção da Resolução CMN nº 4.966/2021, para as Cooperativas não há efeitos tributários a serem registrados dado que a Lei 14.467/2022 não é aplicável.</w:t>
      </w:r>
    </w:p>
    <w:p w14:paraId="6D9A1473" w14:textId="77777777" w:rsidR="00BA3275" w:rsidRDefault="00000000">
      <w:pPr>
        <w:pStyle w:val="NormalWeb"/>
        <w:jc w:val="both"/>
      </w:pPr>
      <w:r>
        <w:rPr>
          <w:rFonts w:ascii="Arial" w:hAnsi="Arial" w:cs="Arial"/>
          <w:sz w:val="20"/>
          <w:szCs w:val="20"/>
        </w:rPr>
        <w:t>Os critérios contábeis estabelecidos pela resolução foram aplicados de forma prospectiva e os efeitos dos ajustes decorrentes foram reconhecidos em contrapartida à conta de lucros ou prejuízos acumulados em 1º de janeiro de 2025, líquidos dos respectivos efeitos tributários.</w:t>
      </w:r>
    </w:p>
    <w:p w14:paraId="4B0F6BD3" w14:textId="77777777" w:rsidR="00BA3275" w:rsidRDefault="00000000">
      <w:pPr>
        <w:pStyle w:val="NormalWeb"/>
      </w:pPr>
      <w:r>
        <w:rPr>
          <w:rFonts w:ascii="Arial" w:hAnsi="Arial" w:cs="Arial"/>
          <w:b/>
          <w:bCs/>
          <w:sz w:val="20"/>
          <w:szCs w:val="20"/>
        </w:rPr>
        <w:t>3.11 Operações de Crédito Cedidas</w:t>
      </w:r>
    </w:p>
    <w:p w14:paraId="29A854CC" w14:textId="77777777" w:rsidR="00BA3275" w:rsidRDefault="00000000">
      <w:pPr>
        <w:pStyle w:val="NormalWeb"/>
        <w:jc w:val="both"/>
      </w:pPr>
      <w:r>
        <w:rPr>
          <w:rFonts w:ascii="Arial" w:hAnsi="Arial" w:cs="Arial"/>
          <w:sz w:val="20"/>
          <w:szCs w:val="20"/>
        </w:rPr>
        <w:t>As cessões de crédito com retenção substancial de riscos e benefícios passam a ter os seus resultados reconhecidos pelo prazo remanescente das operações. Os ativos financeiros objetos da cessão permanecem registrados como operações de crédito e o valor recebido como obrigações por operações de venda ou de transferência de ativos financeiros.</w:t>
      </w:r>
    </w:p>
    <w:p w14:paraId="39C9D31A" w14:textId="77777777" w:rsidR="00BA3275" w:rsidRDefault="00000000">
      <w:pPr>
        <w:pStyle w:val="NormalWeb"/>
      </w:pPr>
      <w:r>
        <w:rPr>
          <w:rFonts w:ascii="Arial" w:hAnsi="Arial" w:cs="Arial"/>
          <w:b/>
          <w:bCs/>
          <w:sz w:val="20"/>
          <w:szCs w:val="20"/>
        </w:rPr>
        <w:t>3.12 Imobilizado de Uso</w:t>
      </w:r>
    </w:p>
    <w:p w14:paraId="0EB460BE" w14:textId="77777777" w:rsidR="00BA3275" w:rsidRDefault="00000000">
      <w:pPr>
        <w:pStyle w:val="NormalWeb"/>
        <w:jc w:val="both"/>
      </w:pPr>
      <w:r>
        <w:rPr>
          <w:rFonts w:ascii="Arial" w:hAnsi="Arial" w:cs="Arial"/>
          <w:sz w:val="20"/>
          <w:szCs w:val="20"/>
        </w:rPr>
        <w:t>Está composto por equipamentos de processamento de dados, móveis, utensílios e outros equipamentos, instalações, edificações, veículos e benfeitorias em imóveis de terceiros. Esses bens são demonstrados pelo custo de aquisição, deduzido da depreciação acumulada.</w:t>
      </w:r>
    </w:p>
    <w:p w14:paraId="38F019C3" w14:textId="77777777" w:rsidR="00BA3275" w:rsidRDefault="00000000">
      <w:pPr>
        <w:pStyle w:val="NormalWeb"/>
        <w:jc w:val="both"/>
      </w:pPr>
      <w:r>
        <w:rPr>
          <w:rFonts w:ascii="Arial" w:hAnsi="Arial" w:cs="Arial"/>
          <w:sz w:val="20"/>
          <w:szCs w:val="20"/>
        </w:rPr>
        <w:t>Nos termos da Resolução CMN nº 4.535/2016, as depreciações são calculadas pelo método linear, com base em taxas determinadas conforme a vida útil estimada dos bens, a saber:</w:t>
      </w:r>
    </w:p>
    <w:p w14:paraId="6E192547" w14:textId="2D52B1AA" w:rsidR="00BA3275" w:rsidRDefault="00000000">
      <w:pPr>
        <w:pStyle w:val="NormalWeb"/>
      </w:pPr>
      <w:r>
        <w:rPr>
          <w:rFonts w:ascii="Arial" w:hAnsi="Arial" w:cs="Arial"/>
          <w:sz w:val="20"/>
          <w:szCs w:val="20"/>
        </w:rPr>
        <w:t xml:space="preserve">- </w:t>
      </w:r>
      <w:r w:rsidR="00E930EC">
        <w:rPr>
          <w:rFonts w:ascii="Arial" w:hAnsi="Arial" w:cs="Arial"/>
          <w:sz w:val="20"/>
          <w:szCs w:val="20"/>
        </w:rPr>
        <w:t>Imóveis</w:t>
      </w:r>
      <w:r>
        <w:rPr>
          <w:rFonts w:ascii="Arial" w:hAnsi="Arial" w:cs="Arial"/>
          <w:sz w:val="20"/>
          <w:szCs w:val="20"/>
        </w:rPr>
        <w:t xml:space="preserve"> de uso – 5%;</w:t>
      </w:r>
    </w:p>
    <w:p w14:paraId="55B81405" w14:textId="55C03002" w:rsidR="00BA3275" w:rsidRDefault="00000000">
      <w:pPr>
        <w:pStyle w:val="NormalWeb"/>
      </w:pPr>
      <w:r>
        <w:rPr>
          <w:rFonts w:ascii="Arial" w:hAnsi="Arial" w:cs="Arial"/>
          <w:sz w:val="20"/>
          <w:szCs w:val="20"/>
        </w:rPr>
        <w:t xml:space="preserve">- </w:t>
      </w:r>
      <w:r w:rsidR="00E930EC">
        <w:rPr>
          <w:rFonts w:ascii="Arial" w:hAnsi="Arial" w:cs="Arial"/>
          <w:sz w:val="20"/>
          <w:szCs w:val="20"/>
        </w:rPr>
        <w:t>Equipamentos</w:t>
      </w:r>
      <w:r>
        <w:rPr>
          <w:rFonts w:ascii="Arial" w:hAnsi="Arial" w:cs="Arial"/>
          <w:sz w:val="20"/>
          <w:szCs w:val="20"/>
        </w:rPr>
        <w:t xml:space="preserve"> de uso – 10%;</w:t>
      </w:r>
    </w:p>
    <w:p w14:paraId="11E4EE25" w14:textId="6CAECA25" w:rsidR="00BA3275" w:rsidRDefault="00000000">
      <w:pPr>
        <w:pStyle w:val="NormalWeb"/>
      </w:pPr>
      <w:r>
        <w:rPr>
          <w:rFonts w:ascii="Arial" w:hAnsi="Arial" w:cs="Arial"/>
          <w:sz w:val="20"/>
          <w:szCs w:val="20"/>
        </w:rPr>
        <w:t xml:space="preserve">- </w:t>
      </w:r>
      <w:r w:rsidR="00E930EC">
        <w:rPr>
          <w:rFonts w:ascii="Arial" w:hAnsi="Arial" w:cs="Arial"/>
          <w:sz w:val="20"/>
          <w:szCs w:val="20"/>
        </w:rPr>
        <w:t>Veículos e processamento</w:t>
      </w:r>
      <w:r>
        <w:rPr>
          <w:rFonts w:ascii="Arial" w:hAnsi="Arial" w:cs="Arial"/>
          <w:sz w:val="20"/>
          <w:szCs w:val="20"/>
        </w:rPr>
        <w:t xml:space="preserve"> de dados – 20%.</w:t>
      </w:r>
    </w:p>
    <w:p w14:paraId="1690AB41" w14:textId="77777777" w:rsidR="00BA3275" w:rsidRDefault="00000000">
      <w:pPr>
        <w:pStyle w:val="NormalWeb"/>
      </w:pPr>
      <w:r>
        <w:rPr>
          <w:rFonts w:ascii="Arial" w:hAnsi="Arial" w:cs="Arial"/>
          <w:b/>
          <w:bCs/>
          <w:sz w:val="20"/>
          <w:szCs w:val="20"/>
        </w:rPr>
        <w:t>3.13 Intangível</w:t>
      </w:r>
    </w:p>
    <w:p w14:paraId="47069DBA" w14:textId="77777777" w:rsidR="00BA3275" w:rsidRDefault="00000000">
      <w:pPr>
        <w:pStyle w:val="NormalWeb"/>
        <w:jc w:val="both"/>
      </w:pPr>
      <w:r>
        <w:rPr>
          <w:rFonts w:ascii="Arial" w:hAnsi="Arial" w:cs="Arial"/>
          <w:sz w:val="20"/>
          <w:szCs w:val="20"/>
        </w:rPr>
        <w:t>Correspondem aos direitos adquiridos que tenham por objeto bens incorpóreos destinados à manutenção da Cooperativa ou exercidos com essa finalidade, deduzidos da amortização acumulada. Nos termos da Resolução CMN nª 4.534/2016, as amortizações são calculadas pelo método linear, são amortizados a uma taxa anual de:</w:t>
      </w:r>
    </w:p>
    <w:p w14:paraId="63DDBC7D" w14:textId="43847712" w:rsidR="00BA3275" w:rsidRDefault="00000000">
      <w:pPr>
        <w:pStyle w:val="NormalWeb"/>
      </w:pPr>
      <w:r>
        <w:rPr>
          <w:rFonts w:ascii="Arial" w:hAnsi="Arial" w:cs="Arial"/>
          <w:sz w:val="20"/>
          <w:szCs w:val="20"/>
        </w:rPr>
        <w:t xml:space="preserve">- </w:t>
      </w:r>
      <w:r w:rsidR="00E930EC">
        <w:rPr>
          <w:rFonts w:ascii="Arial" w:hAnsi="Arial" w:cs="Arial"/>
          <w:sz w:val="20"/>
          <w:szCs w:val="20"/>
        </w:rPr>
        <w:t>Intangíveis</w:t>
      </w:r>
      <w:r>
        <w:rPr>
          <w:rFonts w:ascii="Arial" w:hAnsi="Arial" w:cs="Arial"/>
          <w:sz w:val="20"/>
          <w:szCs w:val="20"/>
        </w:rPr>
        <w:t xml:space="preserve"> 20%.</w:t>
      </w:r>
    </w:p>
    <w:p w14:paraId="4C94F208" w14:textId="77777777" w:rsidR="00BA3275" w:rsidRDefault="00000000">
      <w:pPr>
        <w:pStyle w:val="NormalWeb"/>
      </w:pPr>
      <w:r>
        <w:rPr>
          <w:rFonts w:ascii="Arial" w:hAnsi="Arial" w:cs="Arial"/>
          <w:b/>
          <w:bCs/>
          <w:sz w:val="20"/>
          <w:szCs w:val="20"/>
        </w:rPr>
        <w:t>3.14 Ativos Contingentes</w:t>
      </w:r>
    </w:p>
    <w:p w14:paraId="091608F5" w14:textId="77777777" w:rsidR="00BA3275" w:rsidRDefault="00000000">
      <w:pPr>
        <w:pStyle w:val="NormalWeb"/>
        <w:jc w:val="both"/>
      </w:pPr>
      <w:r>
        <w:rPr>
          <w:rFonts w:ascii="Arial" w:hAnsi="Arial" w:cs="Arial"/>
          <w:sz w:val="20"/>
          <w:szCs w:val="20"/>
        </w:rPr>
        <w:t>Não são reconhecidos contabilmente, exceto quando a Administração possui total controle da situação ou quando há garantias reais ou decisões judiciais favoráveis sobre as quais não cabem mais recursos contrários, caracterizando o ganho como praticamente certo. Os ativos contingentes com probabilidade de êxito provável, quando aplicável, são apenas divulgados em notas explicativas às demonstrações financeiras.</w:t>
      </w:r>
    </w:p>
    <w:p w14:paraId="2D624FA2" w14:textId="77777777" w:rsidR="00BA3275" w:rsidRDefault="00000000">
      <w:pPr>
        <w:pStyle w:val="NormalWeb"/>
      </w:pPr>
      <w:r>
        <w:rPr>
          <w:rFonts w:ascii="Arial" w:hAnsi="Arial" w:cs="Arial"/>
          <w:b/>
          <w:bCs/>
          <w:sz w:val="20"/>
          <w:szCs w:val="20"/>
        </w:rPr>
        <w:t xml:space="preserve">3.15 Outros Ativos </w:t>
      </w:r>
    </w:p>
    <w:p w14:paraId="2F95CF45" w14:textId="77777777" w:rsidR="00BA3275" w:rsidRDefault="00000000">
      <w:pPr>
        <w:pStyle w:val="NormalWeb"/>
        <w:jc w:val="both"/>
      </w:pPr>
      <w:r>
        <w:rPr>
          <w:rFonts w:ascii="Arial" w:hAnsi="Arial" w:cs="Arial"/>
          <w:sz w:val="20"/>
          <w:szCs w:val="20"/>
        </w:rPr>
        <w:t>São registrados pelo regime de competência, apresentados ao valor de custo ou de realização, incluindo, quando aplicável, os rendimentos e as variações monetárias auferidas, até a data do balanço.</w:t>
      </w:r>
    </w:p>
    <w:p w14:paraId="213D669B" w14:textId="77777777" w:rsidR="00BA3275" w:rsidRDefault="00000000">
      <w:pPr>
        <w:pStyle w:val="NormalWeb"/>
      </w:pPr>
      <w:r>
        <w:rPr>
          <w:rFonts w:ascii="Arial" w:hAnsi="Arial" w:cs="Arial"/>
          <w:b/>
          <w:bCs/>
          <w:sz w:val="20"/>
          <w:szCs w:val="20"/>
        </w:rPr>
        <w:t>3.16 Outros Passivos</w:t>
      </w:r>
    </w:p>
    <w:p w14:paraId="4B96084C" w14:textId="77777777" w:rsidR="00BA3275" w:rsidRDefault="00000000">
      <w:pPr>
        <w:pStyle w:val="NormalWeb"/>
        <w:jc w:val="both"/>
      </w:pPr>
      <w:r>
        <w:rPr>
          <w:rFonts w:ascii="Arial" w:hAnsi="Arial" w:cs="Arial"/>
          <w:sz w:val="20"/>
          <w:szCs w:val="20"/>
        </w:rPr>
        <w:t>Os demais passivos são demonstrados pelos valores conhecidos ou calculáveis, acrescidos, quando aplicável, dos correspondentes encargos e das variações monetárias incorridos.</w:t>
      </w:r>
    </w:p>
    <w:p w14:paraId="55C92A18" w14:textId="77777777" w:rsidR="00BA3275" w:rsidRDefault="00000000">
      <w:pPr>
        <w:pStyle w:val="NormalWeb"/>
      </w:pPr>
      <w:r>
        <w:rPr>
          <w:rFonts w:ascii="Arial" w:hAnsi="Arial" w:cs="Arial"/>
          <w:b/>
          <w:bCs/>
          <w:sz w:val="20"/>
          <w:szCs w:val="20"/>
        </w:rPr>
        <w:t>3.17 Provisões</w:t>
      </w:r>
    </w:p>
    <w:p w14:paraId="2160B66F" w14:textId="77777777" w:rsidR="00BA3275" w:rsidRDefault="00000000">
      <w:pPr>
        <w:pStyle w:val="NormalWeb"/>
        <w:jc w:val="both"/>
      </w:pPr>
      <w:r>
        <w:rPr>
          <w:rFonts w:ascii="Arial" w:hAnsi="Arial" w:cs="Arial"/>
          <w:sz w:val="20"/>
          <w:szCs w:val="20"/>
        </w:rPr>
        <w:lastRenderedPageBreak/>
        <w:t>O reconhecimento, a mensuração e a divulgação das provisões, e dos passivos contingentes são efetuados de acordo com a Resolução CMN 3.823/2009, que determina a observância do Pronunciamento Técnico CPC 25, emitido pelo Comitê de Pronunciamentos Contábeis (CPC), por parte das Instituições Financeiras e demais instituições autorizadas a funcionar pelo Banco Central do Brasil.</w:t>
      </w:r>
    </w:p>
    <w:p w14:paraId="16438064" w14:textId="77777777" w:rsidR="00BA3275" w:rsidRDefault="00000000">
      <w:pPr>
        <w:pStyle w:val="NormalWeb"/>
        <w:jc w:val="both"/>
      </w:pPr>
      <w:r>
        <w:rPr>
          <w:rFonts w:ascii="Arial" w:hAnsi="Arial" w:cs="Arial"/>
          <w:sz w:val="20"/>
          <w:szCs w:val="20"/>
        </w:rPr>
        <w:t>As Provisões são reconhecidas quando a Cooperativa tem uma obrigação presente legal ou implícita como resultado de eventos passados, sendo provável que um recurso econômico seja requerido para saldar essa obrigação legal. As provisões são registradas tendo como base as melhores estimativas do risco envolvido.</w:t>
      </w:r>
    </w:p>
    <w:p w14:paraId="36A13B6B" w14:textId="77777777" w:rsidR="00BA3275" w:rsidRDefault="00000000">
      <w:pPr>
        <w:pStyle w:val="NormalWeb"/>
        <w:jc w:val="both"/>
      </w:pPr>
      <w:r>
        <w:rPr>
          <w:rFonts w:ascii="Arial" w:hAnsi="Arial" w:cs="Arial"/>
          <w:sz w:val="20"/>
          <w:szCs w:val="20"/>
        </w:rPr>
        <w:t>As provisões para Demandas Judiciais são reconhecidas contabilmente quando, com base na opinião de assessores jurídicos, for considerado provável o risco de perda de uma ação judicial ou administrativa, gerando uma provável saída no futuro de recursos para a liquidação das ações, e quando os montantes envolvidos forem mensurados com suficiente segurança. As ações com chance de perda possível são apenas divulgadas em nota explicativa às demonstrações financeiras, e as ações com chance remota de perda não são divulgadas.</w:t>
      </w:r>
    </w:p>
    <w:p w14:paraId="62714F76" w14:textId="77777777" w:rsidR="00BA3275" w:rsidRDefault="00000000">
      <w:pPr>
        <w:pStyle w:val="NormalWeb"/>
        <w:jc w:val="both"/>
      </w:pPr>
      <w:r>
        <w:rPr>
          <w:rFonts w:ascii="Arial" w:hAnsi="Arial" w:cs="Arial"/>
          <w:sz w:val="20"/>
          <w:szCs w:val="20"/>
        </w:rPr>
        <w:t>As Obrigações Legais são aquelas que decorrem de um contrato por meio de termos explícitos ou implícitos, de uma lei ou um outro instrumento fundamentado em lei, que a Cooperativa tem por diretriz.</w:t>
      </w:r>
    </w:p>
    <w:p w14:paraId="300248AC" w14:textId="77777777" w:rsidR="00BA3275" w:rsidRDefault="00000000">
      <w:pPr>
        <w:pStyle w:val="NormalWeb"/>
      </w:pPr>
      <w:r>
        <w:rPr>
          <w:rFonts w:ascii="Arial" w:hAnsi="Arial" w:cs="Arial"/>
          <w:b/>
          <w:bCs/>
          <w:sz w:val="20"/>
          <w:szCs w:val="20"/>
        </w:rPr>
        <w:t>3.18 Tributos</w:t>
      </w:r>
    </w:p>
    <w:p w14:paraId="62AAAA0D" w14:textId="77777777" w:rsidR="00BA3275" w:rsidRDefault="00000000">
      <w:pPr>
        <w:pStyle w:val="NormalWeb"/>
        <w:jc w:val="both"/>
      </w:pPr>
      <w:r>
        <w:rPr>
          <w:rFonts w:ascii="Arial" w:hAnsi="Arial" w:cs="Arial"/>
          <w:sz w:val="20"/>
          <w:szCs w:val="20"/>
        </w:rPr>
        <w:t>Em cumprimento ao art. 87 da Lei nº 5.764/1971, os rendimentos auferidos através de serviços prestados a não associados são submetidos à tributação dos impostos que lhes cabem, sendo eles, a depender da natureza do serviço, Imposto de Renda (IRPJ), Contribuição Social Sobre o Lucro Líquido (CSLL), Programa de Integração Social (PIS), Contribuição para o Financiamento da Seguridade Social (COFINS) e Imposto Sobre Serviços de Qualquer Natureza (ISSQN).</w:t>
      </w:r>
    </w:p>
    <w:p w14:paraId="484A9E12" w14:textId="77777777" w:rsidR="00BA3275" w:rsidRDefault="00000000">
      <w:pPr>
        <w:pStyle w:val="NormalWeb"/>
        <w:jc w:val="both"/>
      </w:pPr>
      <w:r>
        <w:rPr>
          <w:rFonts w:ascii="Arial" w:hAnsi="Arial" w:cs="Arial"/>
          <w:sz w:val="20"/>
          <w:szCs w:val="20"/>
        </w:rPr>
        <w:t>O IRPJ e a CSLL têm incidência sobre os atos não cooperativos, situação prevista no caput do art. 194 do Decreto 9.580/2018 (RIR2018), nas alíquotas de 15%, acrescida de adicional de 10%, para o IRPJ e 15% para a CSLL. Ambas as alíquotas incidem sobre o lucro líquido, após os devidos ajustes e compensações de prejuízos.</w:t>
      </w:r>
    </w:p>
    <w:p w14:paraId="719F0136" w14:textId="77777777" w:rsidR="00BA3275" w:rsidRDefault="00000000">
      <w:pPr>
        <w:pStyle w:val="NormalWeb"/>
        <w:jc w:val="both"/>
      </w:pPr>
      <w:r>
        <w:rPr>
          <w:rFonts w:ascii="Arial" w:hAnsi="Arial" w:cs="Arial"/>
          <w:sz w:val="20"/>
          <w:szCs w:val="20"/>
        </w:rPr>
        <w:t>Ainda no âmbito federal, as cooperativas contribuem com o PIS à alíquota de 0,65% e COFINS à alíquota de 4%, incidentes sobre as receitas auferidas com não associados, após deduções legais previstas na legislação tributária.</w:t>
      </w:r>
    </w:p>
    <w:p w14:paraId="7BFE6B4D" w14:textId="77777777" w:rsidR="00BA3275" w:rsidRDefault="00000000">
      <w:pPr>
        <w:pStyle w:val="NormalWeb"/>
        <w:jc w:val="both"/>
      </w:pPr>
      <w:r>
        <w:rPr>
          <w:rFonts w:ascii="Arial" w:hAnsi="Arial" w:cs="Arial"/>
          <w:sz w:val="20"/>
          <w:szCs w:val="20"/>
        </w:rPr>
        <w:t>As alíquotas dos impostos federais correspondem às regras fiscais determinadas pelo poder Legislativo para o Lucro Real, regime de tributação adotado pelas cooperativas do Sicoob.</w:t>
      </w:r>
    </w:p>
    <w:p w14:paraId="6A675E62" w14:textId="77777777" w:rsidR="00BA3275" w:rsidRDefault="00000000">
      <w:pPr>
        <w:pStyle w:val="NormalWeb"/>
        <w:jc w:val="both"/>
      </w:pPr>
      <w:r>
        <w:rPr>
          <w:rFonts w:ascii="Arial" w:hAnsi="Arial" w:cs="Arial"/>
          <w:sz w:val="20"/>
          <w:szCs w:val="20"/>
        </w:rPr>
        <w:t>O ISSQN é aplicado sobre as receitas auferidas com serviços específicos, sendo recolhido mediante a aplicação de alíquota definida pelo município sede do Ponto de Atendimento (PA) que tenha prestado o serviço à não associado.</w:t>
      </w:r>
    </w:p>
    <w:p w14:paraId="1A9CC7B8" w14:textId="77777777" w:rsidR="00BA3275" w:rsidRDefault="00000000">
      <w:pPr>
        <w:pStyle w:val="NormalWeb"/>
        <w:jc w:val="both"/>
      </w:pPr>
      <w:r>
        <w:rPr>
          <w:rFonts w:ascii="Arial" w:hAnsi="Arial" w:cs="Arial"/>
          <w:sz w:val="20"/>
          <w:szCs w:val="20"/>
        </w:rPr>
        <w:t>O resultado apurado nas operações realizadas com associados não está sujeito à tributação, conforme o regime jurídico das sociedades Cooperativas.</w:t>
      </w:r>
    </w:p>
    <w:p w14:paraId="0BA6A9D3" w14:textId="77777777" w:rsidR="00BA3275" w:rsidRDefault="00000000">
      <w:pPr>
        <w:pStyle w:val="NormalWeb"/>
      </w:pPr>
      <w:r>
        <w:rPr>
          <w:rFonts w:ascii="Arial" w:hAnsi="Arial" w:cs="Arial"/>
          <w:b/>
          <w:bCs/>
          <w:sz w:val="20"/>
          <w:szCs w:val="20"/>
        </w:rPr>
        <w:t>3.19 Segregação em Circulante e Não Circulante</w:t>
      </w:r>
    </w:p>
    <w:p w14:paraId="13CDBE2D" w14:textId="77777777" w:rsidR="00BA3275" w:rsidRDefault="00000000">
      <w:pPr>
        <w:pStyle w:val="NormalWeb"/>
        <w:jc w:val="both"/>
      </w:pPr>
      <w:r>
        <w:rPr>
          <w:rFonts w:ascii="Arial" w:hAnsi="Arial" w:cs="Arial"/>
          <w:sz w:val="20"/>
          <w:szCs w:val="20"/>
        </w:rPr>
        <w:t>No Balanço Patrimonial, os ativos e passivos são apresentados por ordem de liquidez. Em Notas Explicativas, os valores realizáveis e exigíveis com prazos inferiores a doze meses após a data-base do balanço estão classificados no curto prazo (circulante), e os prazos superiores, no longo prazo (não circulante).</w:t>
      </w:r>
    </w:p>
    <w:p w14:paraId="57057281" w14:textId="77777777" w:rsidR="00BA3275" w:rsidRDefault="00000000">
      <w:pPr>
        <w:pStyle w:val="NormalWeb"/>
      </w:pPr>
      <w:r>
        <w:rPr>
          <w:rFonts w:ascii="Arial" w:hAnsi="Arial" w:cs="Arial"/>
          <w:b/>
          <w:bCs/>
          <w:sz w:val="20"/>
          <w:szCs w:val="20"/>
        </w:rPr>
        <w:t xml:space="preserve">3.20 Valor Recuperável de Ativos – Impairment </w:t>
      </w:r>
    </w:p>
    <w:p w14:paraId="07069483" w14:textId="77777777" w:rsidR="00BA3275" w:rsidRDefault="00000000">
      <w:pPr>
        <w:pStyle w:val="NormalWeb"/>
        <w:jc w:val="both"/>
      </w:pPr>
      <w:r>
        <w:rPr>
          <w:rFonts w:ascii="Arial" w:hAnsi="Arial" w:cs="Arial"/>
          <w:sz w:val="20"/>
          <w:szCs w:val="20"/>
        </w:rPr>
        <w:t>A redução do valor recuperável dos ativos não financeiros (</w:t>
      </w:r>
      <w:r>
        <w:rPr>
          <w:rFonts w:ascii="Arial" w:hAnsi="Arial" w:cs="Arial"/>
          <w:i/>
          <w:iCs/>
          <w:sz w:val="20"/>
          <w:szCs w:val="20"/>
        </w:rPr>
        <w:t>impairment)</w:t>
      </w:r>
      <w:r>
        <w:rPr>
          <w:rFonts w:ascii="Arial" w:hAnsi="Arial" w:cs="Arial"/>
          <w:sz w:val="20"/>
          <w:szCs w:val="20"/>
        </w:rPr>
        <w:t xml:space="preserve"> é reconhecida como perda, quando o valor de contabilização de um ativo – exceto outros valores e bens – for maior do que o seu valor recuperável ou de realização. As perdas por “</w:t>
      </w:r>
      <w:r>
        <w:rPr>
          <w:rFonts w:ascii="Arial" w:hAnsi="Arial" w:cs="Arial"/>
          <w:i/>
          <w:iCs/>
          <w:sz w:val="20"/>
          <w:szCs w:val="20"/>
        </w:rPr>
        <w:t>impairment</w:t>
      </w:r>
      <w:r>
        <w:rPr>
          <w:rFonts w:ascii="Arial" w:hAnsi="Arial" w:cs="Arial"/>
          <w:sz w:val="20"/>
          <w:szCs w:val="20"/>
        </w:rPr>
        <w:t>”, quando aplicáveis, são registradas no resultado do período em que foram identificadas.</w:t>
      </w:r>
    </w:p>
    <w:p w14:paraId="227C0A4F" w14:textId="77777777" w:rsidR="00BA3275" w:rsidRDefault="00000000">
      <w:pPr>
        <w:pStyle w:val="NormalWeb"/>
      </w:pPr>
      <w:r>
        <w:rPr>
          <w:rFonts w:ascii="Arial" w:hAnsi="Arial" w:cs="Arial"/>
          <w:b/>
          <w:bCs/>
          <w:sz w:val="20"/>
          <w:szCs w:val="20"/>
        </w:rPr>
        <w:lastRenderedPageBreak/>
        <w:t>3.21 Resultados Recorrentes e Não Recorrentes</w:t>
      </w:r>
    </w:p>
    <w:p w14:paraId="0BA42C54" w14:textId="77777777" w:rsidR="00BA3275" w:rsidRDefault="00000000">
      <w:pPr>
        <w:pStyle w:val="NormalWeb"/>
        <w:jc w:val="both"/>
      </w:pPr>
      <w:r>
        <w:rPr>
          <w:rFonts w:ascii="Arial" w:hAnsi="Arial" w:cs="Arial"/>
          <w:sz w:val="20"/>
          <w:szCs w:val="20"/>
        </w:rPr>
        <w:t>Como definido pela Resolução BCB nº 2/2020, os resultados recorrentes são aqueles que estão relacionados com as atividades características da Cooperativa ocorridas com frequência no presente e previstas para ocorrer no futuro, enquanto os resultados não recorrentes são aqueles decorrentes de um evento extraordinário e/ou imprevisível, com a tendência de não se repetir no futuro.</w:t>
      </w:r>
    </w:p>
    <w:p w14:paraId="34454BC3" w14:textId="77777777" w:rsidR="00BA3275" w:rsidRDefault="00000000">
      <w:pPr>
        <w:pStyle w:val="NormalWeb"/>
      </w:pPr>
      <w:r>
        <w:rPr>
          <w:rFonts w:ascii="Arial" w:hAnsi="Arial" w:cs="Arial"/>
          <w:b/>
          <w:bCs/>
          <w:sz w:val="20"/>
          <w:szCs w:val="20"/>
        </w:rPr>
        <w:t xml:space="preserve">3.22 Eventos Subsequentes </w:t>
      </w:r>
    </w:p>
    <w:p w14:paraId="617848FC" w14:textId="77777777" w:rsidR="00BA3275" w:rsidRDefault="00000000">
      <w:pPr>
        <w:pStyle w:val="NormalWeb"/>
        <w:jc w:val="both"/>
      </w:pPr>
      <w:r>
        <w:rPr>
          <w:rFonts w:ascii="Arial" w:hAnsi="Arial" w:cs="Arial"/>
          <w:sz w:val="20"/>
          <w:szCs w:val="20"/>
        </w:rPr>
        <w:t>Correspondem aos eventos ocorridos entre a data-base das demonstrações financeiras e a data de autorização para a sua emissão. São compostos por:</w:t>
      </w:r>
    </w:p>
    <w:p w14:paraId="5E94E0E2" w14:textId="77777777" w:rsidR="00BA3275" w:rsidRDefault="00000000">
      <w:pPr>
        <w:pStyle w:val="NormalWeb"/>
      </w:pPr>
      <w:r>
        <w:rPr>
          <w:rFonts w:ascii="Arial" w:hAnsi="Arial" w:cs="Arial"/>
          <w:sz w:val="20"/>
          <w:szCs w:val="20"/>
        </w:rPr>
        <w:t>- Eventos que originam ajustes: evidenciam condições que já existiam na data-base das demonstrações financeiras; e</w:t>
      </w:r>
    </w:p>
    <w:p w14:paraId="1084292D" w14:textId="77777777" w:rsidR="00BA3275" w:rsidRDefault="00000000">
      <w:pPr>
        <w:pStyle w:val="NormalWeb"/>
      </w:pPr>
      <w:r>
        <w:rPr>
          <w:rFonts w:ascii="Arial" w:hAnsi="Arial" w:cs="Arial"/>
          <w:sz w:val="20"/>
          <w:szCs w:val="20"/>
        </w:rPr>
        <w:t>- Eventos que não originam ajustes: evidenciam condições que não existiam na data-base das demonstrações financeiras.</w:t>
      </w:r>
    </w:p>
    <w:p w14:paraId="392C6C7A" w14:textId="2A221346" w:rsidR="00BA3275" w:rsidRDefault="00000000">
      <w:pPr>
        <w:pStyle w:val="NormalWeb"/>
        <w:jc w:val="both"/>
      </w:pPr>
      <w:r>
        <w:rPr>
          <w:rFonts w:ascii="Arial" w:hAnsi="Arial" w:cs="Arial"/>
          <w:sz w:val="20"/>
          <w:szCs w:val="20"/>
        </w:rPr>
        <w:t>Não houve qualquer evento subsequente para as demonstrações financeiras encerradas em 30 de junho de 2025.</w:t>
      </w:r>
    </w:p>
    <w:p w14:paraId="784A68F2" w14:textId="77777777" w:rsidR="00BA3275" w:rsidRDefault="00000000">
      <w:pPr>
        <w:pStyle w:val="NormalWeb"/>
      </w:pPr>
      <w:r>
        <w:rPr>
          <w:rFonts w:ascii="Arial" w:hAnsi="Arial" w:cs="Arial"/>
          <w:b/>
          <w:bCs/>
          <w:sz w:val="20"/>
          <w:szCs w:val="20"/>
        </w:rPr>
        <w:t xml:space="preserve">4. Reconciliação de Saldos Patrimoniais Comparativos em 1º de janeiro de 2025 </w:t>
      </w:r>
    </w:p>
    <w:p w14:paraId="59A909F1" w14:textId="77777777" w:rsidR="00BA3275" w:rsidRDefault="00000000">
      <w:pPr>
        <w:pStyle w:val="NormalWeb"/>
        <w:jc w:val="both"/>
      </w:pPr>
      <w:r>
        <w:rPr>
          <w:rFonts w:ascii="Arial" w:hAnsi="Arial" w:cs="Arial"/>
          <w:sz w:val="20"/>
          <w:szCs w:val="20"/>
        </w:rPr>
        <w:t>A Cooperativa optou pela isenção prevista pela Resolução CMN nº 4.966/21 de não reapresentar informações comparativas de períodos anteriores decorrentes das alterações na classificação e mensuração de instrumentos financeiros (incluindo perdas de crédito esperadas). As diferenças nos saldos contábeis de ativos e passivos financeiros resultantes da adoção da norma foram reconhecidas no patrimônio líquido dentro de sobras ou perdas acumuladas a partir de 1º de janeiro de 2025.</w:t>
      </w:r>
    </w:p>
    <w:p w14:paraId="44EF5078" w14:textId="7D463C44" w:rsidR="00BA3275" w:rsidRDefault="00000000">
      <w:pPr>
        <w:pStyle w:val="NormalWeb"/>
        <w:jc w:val="both"/>
      </w:pPr>
      <w:r>
        <w:rPr>
          <w:rFonts w:ascii="Arial" w:hAnsi="Arial" w:cs="Arial"/>
          <w:sz w:val="20"/>
          <w:szCs w:val="20"/>
        </w:rPr>
        <w:t xml:space="preserve">a) Reconciliação do patrimônio líquido na transição para Resolução CMN nº 4.966/21. </w:t>
      </w:r>
    </w:p>
    <w:tbl>
      <w:tblPr>
        <w:tblW w:w="5000" w:type="pct"/>
        <w:tblCellMar>
          <w:left w:w="0" w:type="dxa"/>
          <w:right w:w="0" w:type="dxa"/>
        </w:tblCellMar>
        <w:tblLook w:val="04A0" w:firstRow="1" w:lastRow="0" w:firstColumn="1" w:lastColumn="0" w:noHBand="0" w:noVBand="1"/>
      </w:tblPr>
      <w:tblGrid>
        <w:gridCol w:w="7153"/>
        <w:gridCol w:w="2469"/>
      </w:tblGrid>
      <w:tr w:rsidR="00BA3275" w14:paraId="00577FE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BEEF758" w14:textId="77777777" w:rsidR="00BA3275"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993A617" w14:textId="77777777" w:rsidR="00BA3275" w:rsidRDefault="00000000">
            <w:pPr>
              <w:jc w:val="center"/>
              <w:rPr>
                <w:rFonts w:eastAsia="Times New Roman"/>
              </w:rPr>
            </w:pPr>
            <w:r>
              <w:rPr>
                <w:rFonts w:ascii="Arial" w:eastAsia="Times New Roman" w:hAnsi="Arial" w:cs="Arial"/>
                <w:b/>
                <w:bCs/>
                <w:sz w:val="16"/>
                <w:szCs w:val="16"/>
              </w:rPr>
              <w:t>Valor Contábil</w:t>
            </w:r>
          </w:p>
        </w:tc>
      </w:tr>
      <w:tr w:rsidR="001235D8" w14:paraId="31EE65C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7D24F3B" w14:textId="77777777" w:rsidR="001235D8" w:rsidRDefault="001235D8" w:rsidP="001235D8">
            <w:pPr>
              <w:rPr>
                <w:rFonts w:eastAsia="Times New Roman"/>
              </w:rPr>
            </w:pPr>
            <w:r>
              <w:rPr>
                <w:rFonts w:ascii="Arial" w:eastAsia="Times New Roman" w:hAnsi="Arial" w:cs="Arial"/>
                <w:b/>
                <w:bCs/>
                <w:sz w:val="16"/>
                <w:szCs w:val="16"/>
              </w:rPr>
              <w:t>Patrimônio líquido em 31 de dezembro de 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A365883" w14:textId="1714B87E" w:rsidR="001235D8" w:rsidRPr="001235D8" w:rsidRDefault="001235D8" w:rsidP="001235D8">
            <w:pPr>
              <w:jc w:val="right"/>
              <w:rPr>
                <w:rFonts w:ascii="Arial" w:eastAsia="Times New Roman" w:hAnsi="Arial" w:cs="Arial"/>
                <w:b/>
                <w:bCs/>
                <w:sz w:val="16"/>
                <w:szCs w:val="16"/>
              </w:rPr>
            </w:pPr>
            <w:r w:rsidRPr="001235D8">
              <w:rPr>
                <w:rFonts w:ascii="Arial" w:eastAsia="Times New Roman" w:hAnsi="Arial" w:cs="Arial"/>
                <w:b/>
                <w:bCs/>
                <w:sz w:val="16"/>
                <w:szCs w:val="16"/>
              </w:rPr>
              <w:t>193.957.579,31</w:t>
            </w:r>
          </w:p>
        </w:tc>
      </w:tr>
      <w:tr w:rsidR="001235D8" w14:paraId="0D6C67D9" w14:textId="77777777" w:rsidTr="00FC2C03">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1C3EC2C" w14:textId="3A295B6D" w:rsidR="001235D8" w:rsidRDefault="001235D8" w:rsidP="001235D8">
            <w:pPr>
              <w:rPr>
                <w:rFonts w:eastAsia="Times New Roman"/>
              </w:rPr>
            </w:pPr>
            <w:r>
              <w:rPr>
                <w:rFonts w:ascii="Arial" w:eastAsia="Times New Roman" w:hAnsi="Arial" w:cs="Arial"/>
                <w:sz w:val="16"/>
                <w:szCs w:val="16"/>
              </w:rPr>
              <w:t>Perda esperada de crédito para operações de crédito (1)</w:t>
            </w:r>
          </w:p>
        </w:tc>
        <w:tc>
          <w:tcPr>
            <w:tcW w:w="0" w:type="auto"/>
            <w:tcBorders>
              <w:top w:val="outset" w:sz="6" w:space="0" w:color="auto"/>
              <w:left w:val="outset" w:sz="6" w:space="0" w:color="auto"/>
              <w:bottom w:val="outset" w:sz="6" w:space="0" w:color="auto"/>
              <w:right w:val="outset" w:sz="6" w:space="0" w:color="auto"/>
            </w:tcBorders>
            <w:vAlign w:val="bottom"/>
            <w:hideMark/>
          </w:tcPr>
          <w:p w14:paraId="74481C23" w14:textId="5BDD9E7C" w:rsidR="001235D8" w:rsidRPr="001235D8" w:rsidRDefault="001235D8" w:rsidP="001235D8">
            <w:pPr>
              <w:jc w:val="right"/>
              <w:rPr>
                <w:rFonts w:ascii="Arial" w:eastAsia="Times New Roman" w:hAnsi="Arial" w:cs="Arial"/>
                <w:sz w:val="16"/>
                <w:szCs w:val="16"/>
              </w:rPr>
            </w:pPr>
            <w:r w:rsidRPr="001235D8">
              <w:rPr>
                <w:rFonts w:ascii="Arial" w:eastAsia="Times New Roman" w:hAnsi="Arial" w:cs="Arial"/>
                <w:sz w:val="16"/>
                <w:szCs w:val="16"/>
              </w:rPr>
              <w:t xml:space="preserve">                     6.923.574,93 </w:t>
            </w:r>
          </w:p>
        </w:tc>
      </w:tr>
      <w:tr w:rsidR="001235D8" w14:paraId="29691D87" w14:textId="77777777" w:rsidTr="00FC2C03">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1FA4624" w14:textId="77777777" w:rsidR="001235D8" w:rsidRDefault="001235D8" w:rsidP="001235D8">
            <w:pPr>
              <w:rPr>
                <w:rFonts w:eastAsia="Times New Roman"/>
              </w:rPr>
            </w:pPr>
            <w:r>
              <w:rPr>
                <w:rFonts w:ascii="Arial" w:eastAsia="Times New Roman" w:hAnsi="Arial" w:cs="Arial"/>
                <w:sz w:val="16"/>
                <w:szCs w:val="16"/>
              </w:rPr>
              <w:t>Ajuste de suspensão de juros de operações de crédito</w:t>
            </w:r>
          </w:p>
        </w:tc>
        <w:tc>
          <w:tcPr>
            <w:tcW w:w="0" w:type="auto"/>
            <w:tcBorders>
              <w:top w:val="outset" w:sz="6" w:space="0" w:color="auto"/>
              <w:left w:val="outset" w:sz="6" w:space="0" w:color="auto"/>
              <w:bottom w:val="outset" w:sz="6" w:space="0" w:color="auto"/>
              <w:right w:val="outset" w:sz="6" w:space="0" w:color="auto"/>
            </w:tcBorders>
            <w:vAlign w:val="bottom"/>
            <w:hideMark/>
          </w:tcPr>
          <w:p w14:paraId="2961D65B" w14:textId="00A4F897" w:rsidR="001235D8" w:rsidRPr="001235D8" w:rsidRDefault="001235D8" w:rsidP="001235D8">
            <w:pPr>
              <w:jc w:val="right"/>
              <w:rPr>
                <w:rFonts w:ascii="Arial" w:eastAsia="Times New Roman" w:hAnsi="Arial" w:cs="Arial"/>
                <w:sz w:val="16"/>
                <w:szCs w:val="16"/>
              </w:rPr>
            </w:pPr>
            <w:r w:rsidRPr="001235D8">
              <w:rPr>
                <w:rFonts w:ascii="Arial" w:eastAsia="Times New Roman" w:hAnsi="Arial" w:cs="Arial"/>
                <w:sz w:val="16"/>
                <w:szCs w:val="16"/>
              </w:rPr>
              <w:t xml:space="preserve">                                 4.949,27 </w:t>
            </w:r>
          </w:p>
        </w:tc>
      </w:tr>
      <w:tr w:rsidR="001235D8" w14:paraId="20AC6C5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F6625D2" w14:textId="77777777" w:rsidR="001235D8" w:rsidRDefault="001235D8" w:rsidP="001235D8">
            <w:pPr>
              <w:rPr>
                <w:rFonts w:eastAsia="Times New Roman"/>
              </w:rPr>
            </w:pPr>
            <w:r>
              <w:rPr>
                <w:rFonts w:ascii="Arial" w:eastAsia="Times New Roman" w:hAnsi="Arial" w:cs="Arial"/>
                <w:b/>
                <w:bCs/>
                <w:sz w:val="16"/>
                <w:szCs w:val="16"/>
              </w:rPr>
              <w:t>Patrimônio líquido conforme a Resolução CMN 4.966/21 em 1 de janeiro de 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5F09D" w14:textId="33BDB2BF" w:rsidR="001235D8" w:rsidRPr="001235D8" w:rsidRDefault="001235D8" w:rsidP="001235D8">
            <w:pPr>
              <w:jc w:val="right"/>
              <w:rPr>
                <w:rFonts w:ascii="Arial" w:eastAsia="Times New Roman" w:hAnsi="Arial" w:cs="Arial"/>
                <w:b/>
                <w:bCs/>
                <w:sz w:val="16"/>
                <w:szCs w:val="16"/>
              </w:rPr>
            </w:pPr>
            <w:r w:rsidRPr="001235D8">
              <w:rPr>
                <w:rFonts w:ascii="Arial" w:eastAsia="Times New Roman" w:hAnsi="Arial" w:cs="Arial"/>
                <w:b/>
                <w:bCs/>
                <w:sz w:val="16"/>
                <w:szCs w:val="16"/>
              </w:rPr>
              <w:t>200.886.103,51</w:t>
            </w:r>
          </w:p>
        </w:tc>
      </w:tr>
    </w:tbl>
    <w:p w14:paraId="252DD21B" w14:textId="77777777" w:rsidR="00BA3275" w:rsidRDefault="00000000">
      <w:pPr>
        <w:pStyle w:val="NormalWeb"/>
        <w:jc w:val="both"/>
      </w:pPr>
      <w:r>
        <w:rPr>
          <w:rFonts w:ascii="Arial" w:hAnsi="Arial" w:cs="Arial"/>
          <w:sz w:val="20"/>
          <w:szCs w:val="20"/>
        </w:rPr>
        <w:t>(1) Inclui garantias financeiras prestadas e compromissos de empréstimos;</w:t>
      </w:r>
    </w:p>
    <w:p w14:paraId="69E22D06" w14:textId="1A60664A" w:rsidR="00BA3275" w:rsidRDefault="00000000">
      <w:pPr>
        <w:pStyle w:val="NormalWeb"/>
        <w:jc w:val="both"/>
      </w:pPr>
      <w:r>
        <w:rPr>
          <w:rFonts w:ascii="Arial" w:hAnsi="Arial" w:cs="Arial"/>
          <w:sz w:val="20"/>
          <w:szCs w:val="20"/>
        </w:rPr>
        <w:t>b) Estão apresentados a seguir, os saldos de reconciliação com os impactos introduzidos pela Resolução CMN nº 4.966/21:</w:t>
      </w:r>
      <w:r>
        <w:rPr>
          <w:rFonts w:ascii="Arial" w:hAnsi="Arial" w:cs="Arial"/>
          <w:b/>
          <w:bCs/>
          <w:sz w:val="20"/>
          <w:szCs w:val="20"/>
        </w:rPr>
        <w:t xml:space="preserve"> </w:t>
      </w:r>
    </w:p>
    <w:tbl>
      <w:tblPr>
        <w:tblW w:w="5000" w:type="pct"/>
        <w:tblCellMar>
          <w:left w:w="0" w:type="dxa"/>
          <w:right w:w="0" w:type="dxa"/>
        </w:tblCellMar>
        <w:tblLook w:val="04A0" w:firstRow="1" w:lastRow="0" w:firstColumn="1" w:lastColumn="0" w:noHBand="0" w:noVBand="1"/>
      </w:tblPr>
      <w:tblGrid>
        <w:gridCol w:w="1696"/>
        <w:gridCol w:w="2080"/>
        <w:gridCol w:w="1190"/>
        <w:gridCol w:w="1572"/>
        <w:gridCol w:w="1190"/>
        <w:gridCol w:w="1894"/>
      </w:tblGrid>
      <w:tr w:rsidR="00BA3275" w:rsidRPr="00C01518" w14:paraId="7C0DC2B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4E62981" w14:textId="77777777" w:rsidR="00BA3275" w:rsidRPr="00C01518" w:rsidRDefault="00000000">
            <w:pPr>
              <w:jc w:val="center"/>
              <w:rPr>
                <w:rFonts w:eastAsia="Times New Roman"/>
                <w:sz w:val="14"/>
                <w:szCs w:val="14"/>
              </w:rPr>
            </w:pPr>
            <w:r w:rsidRPr="00C01518">
              <w:rPr>
                <w:rFonts w:ascii="Arial" w:eastAsia="Times New Roman" w:hAnsi="Arial" w:cs="Arial"/>
                <w:b/>
                <w:bCs/>
                <w:sz w:val="14"/>
                <w:szCs w:val="14"/>
              </w:rPr>
              <w:t>Nomenclatura em 31/12/2024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CD30A0A" w14:textId="77777777" w:rsidR="00BA3275" w:rsidRPr="00C01518" w:rsidRDefault="00000000">
            <w:pPr>
              <w:jc w:val="center"/>
              <w:rPr>
                <w:rFonts w:eastAsia="Times New Roman"/>
                <w:sz w:val="14"/>
                <w:szCs w:val="14"/>
              </w:rPr>
            </w:pPr>
            <w:r w:rsidRPr="00C01518">
              <w:rPr>
                <w:rFonts w:ascii="Arial" w:eastAsia="Times New Roman" w:hAnsi="Arial" w:cs="Arial"/>
                <w:b/>
                <w:bCs/>
                <w:sz w:val="14"/>
                <w:szCs w:val="14"/>
              </w:rPr>
              <w:t>Ativo Financeiro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3734E2BF" w14:textId="77777777" w:rsidR="00BA3275" w:rsidRPr="00C01518" w:rsidRDefault="00000000">
            <w:pPr>
              <w:jc w:val="center"/>
              <w:rPr>
                <w:rFonts w:eastAsia="Times New Roman"/>
                <w:sz w:val="14"/>
                <w:szCs w:val="14"/>
              </w:rPr>
            </w:pPr>
            <w:r w:rsidRPr="00C01518">
              <w:rPr>
                <w:rFonts w:ascii="Arial" w:eastAsia="Times New Roman" w:hAnsi="Arial" w:cs="Arial"/>
                <w:b/>
                <w:bCs/>
                <w:sz w:val="14"/>
                <w:szCs w:val="14"/>
              </w:rPr>
              <w:t>Saldo em 31/12/2024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2EB8D4F" w14:textId="77777777" w:rsidR="00BA3275" w:rsidRPr="00C01518" w:rsidRDefault="00000000">
            <w:pPr>
              <w:jc w:val="center"/>
              <w:rPr>
                <w:rFonts w:eastAsia="Times New Roman"/>
                <w:sz w:val="14"/>
                <w:szCs w:val="14"/>
              </w:rPr>
            </w:pPr>
            <w:r w:rsidRPr="00C01518">
              <w:rPr>
                <w:rFonts w:ascii="Arial" w:eastAsia="Times New Roman" w:hAnsi="Arial" w:cs="Arial"/>
                <w:b/>
                <w:bCs/>
                <w:sz w:val="14"/>
                <w:szCs w:val="14"/>
              </w:rPr>
              <w:t>Remensurações/ Reclassificações (1)</w:t>
            </w:r>
          </w:p>
        </w:tc>
        <w:tc>
          <w:tcPr>
            <w:tcW w:w="0" w:type="auto"/>
            <w:tcBorders>
              <w:top w:val="outset" w:sz="6" w:space="0" w:color="auto"/>
              <w:left w:val="outset" w:sz="6" w:space="0" w:color="auto"/>
              <w:bottom w:val="outset" w:sz="6" w:space="0" w:color="auto"/>
              <w:right w:val="outset" w:sz="6" w:space="0" w:color="auto"/>
            </w:tcBorders>
            <w:vAlign w:val="center"/>
            <w:hideMark/>
          </w:tcPr>
          <w:p w14:paraId="2198D3F6" w14:textId="77777777" w:rsidR="00BA3275" w:rsidRPr="00C01518" w:rsidRDefault="00000000">
            <w:pPr>
              <w:jc w:val="center"/>
              <w:rPr>
                <w:rFonts w:eastAsia="Times New Roman"/>
                <w:sz w:val="14"/>
                <w:szCs w:val="14"/>
              </w:rPr>
            </w:pPr>
            <w:r w:rsidRPr="00C01518">
              <w:rPr>
                <w:rFonts w:ascii="Arial" w:eastAsia="Times New Roman" w:hAnsi="Arial" w:cs="Arial"/>
                <w:b/>
                <w:bCs/>
                <w:sz w:val="14"/>
                <w:szCs w:val="14"/>
              </w:rPr>
              <w:t>Saldo em 01/01/2025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84A0D" w14:textId="77777777" w:rsidR="00BA3275" w:rsidRPr="00C01518" w:rsidRDefault="00000000">
            <w:pPr>
              <w:jc w:val="center"/>
              <w:rPr>
                <w:rFonts w:eastAsia="Times New Roman"/>
                <w:sz w:val="14"/>
                <w:szCs w:val="14"/>
              </w:rPr>
            </w:pPr>
            <w:r w:rsidRPr="00C01518">
              <w:rPr>
                <w:rFonts w:ascii="Arial" w:eastAsia="Times New Roman" w:hAnsi="Arial" w:cs="Arial"/>
                <w:b/>
                <w:bCs/>
                <w:sz w:val="14"/>
                <w:szCs w:val="14"/>
              </w:rPr>
              <w:t>Nova classificação de acordo com a Resolução CMN 4.966/21</w:t>
            </w:r>
          </w:p>
        </w:tc>
      </w:tr>
      <w:tr w:rsidR="00303CC6" w:rsidRPr="00C01518" w14:paraId="30941F22" w14:textId="77777777" w:rsidTr="00C01518">
        <w:trPr>
          <w:trHeight w:val="150"/>
        </w:trPr>
        <w:tc>
          <w:tcPr>
            <w:tcW w:w="0" w:type="auto"/>
            <w:vMerge w:val="restart"/>
            <w:tcBorders>
              <w:top w:val="outset" w:sz="6" w:space="0" w:color="auto"/>
              <w:left w:val="outset" w:sz="6" w:space="0" w:color="auto"/>
              <w:right w:val="outset" w:sz="6" w:space="0" w:color="auto"/>
            </w:tcBorders>
            <w:vAlign w:val="center"/>
            <w:hideMark/>
          </w:tcPr>
          <w:p w14:paraId="32B144C2" w14:textId="669EF5CF" w:rsidR="00303CC6" w:rsidRPr="00C01518" w:rsidRDefault="00303CC6" w:rsidP="00303CC6">
            <w:pPr>
              <w:jc w:val="center"/>
              <w:rPr>
                <w:rFonts w:eastAsia="Times New Roman"/>
                <w:sz w:val="14"/>
                <w:szCs w:val="14"/>
              </w:rPr>
            </w:pPr>
            <w:r w:rsidRPr="00C01518">
              <w:rPr>
                <w:rFonts w:ascii="Arial" w:eastAsia="Times New Roman" w:hAnsi="Arial" w:cs="Arial"/>
                <w:b/>
                <w:bCs/>
                <w:sz w:val="14"/>
                <w:szCs w:val="14"/>
              </w:rPr>
              <w:t>Títulos e Valores Mobiliários e Derivativos</w:t>
            </w:r>
          </w:p>
        </w:tc>
        <w:tc>
          <w:tcPr>
            <w:tcW w:w="0" w:type="auto"/>
            <w:tcBorders>
              <w:top w:val="outset" w:sz="6" w:space="0" w:color="auto"/>
              <w:left w:val="outset" w:sz="6" w:space="0" w:color="auto"/>
              <w:bottom w:val="outset" w:sz="6" w:space="0" w:color="auto"/>
              <w:right w:val="outset" w:sz="6" w:space="0" w:color="auto"/>
            </w:tcBorders>
            <w:vAlign w:val="bottom"/>
            <w:hideMark/>
          </w:tcPr>
          <w:p w14:paraId="55A799CC" w14:textId="77777777" w:rsidR="00303CC6" w:rsidRPr="00C01518" w:rsidRDefault="00303CC6">
            <w:pPr>
              <w:jc w:val="right"/>
              <w:rPr>
                <w:rFonts w:eastAsia="Times New Roman"/>
                <w:sz w:val="14"/>
                <w:szCs w:val="14"/>
              </w:rPr>
            </w:pPr>
            <w:r w:rsidRPr="00C01518">
              <w:rPr>
                <w:rFonts w:ascii="Arial" w:eastAsia="Times New Roman" w:hAnsi="Arial" w:cs="Arial"/>
                <w:sz w:val="14"/>
                <w:szCs w:val="14"/>
              </w:rPr>
              <w:t>Títulos e Valores Mobiliários e Derivativos</w:t>
            </w:r>
          </w:p>
        </w:tc>
        <w:tc>
          <w:tcPr>
            <w:tcW w:w="0" w:type="auto"/>
            <w:tcBorders>
              <w:top w:val="outset" w:sz="6" w:space="0" w:color="auto"/>
              <w:left w:val="outset" w:sz="6" w:space="0" w:color="auto"/>
              <w:bottom w:val="outset" w:sz="6" w:space="0" w:color="auto"/>
              <w:right w:val="outset" w:sz="6" w:space="0" w:color="auto"/>
            </w:tcBorders>
            <w:vAlign w:val="bottom"/>
            <w:hideMark/>
          </w:tcPr>
          <w:p w14:paraId="19C4005A" w14:textId="3F285C93" w:rsidR="00303CC6" w:rsidRPr="00C01518" w:rsidRDefault="00303CC6" w:rsidP="00303CC6">
            <w:pPr>
              <w:jc w:val="right"/>
              <w:rPr>
                <w:rFonts w:ascii="Arial" w:eastAsia="Times New Roman" w:hAnsi="Arial" w:cs="Arial"/>
                <w:sz w:val="14"/>
                <w:szCs w:val="14"/>
              </w:rPr>
            </w:pPr>
            <w:r w:rsidRPr="00C01518">
              <w:rPr>
                <w:rFonts w:ascii="Arial" w:eastAsia="Times New Roman" w:hAnsi="Arial" w:cs="Arial"/>
                <w:sz w:val="14"/>
                <w:szCs w:val="14"/>
              </w:rPr>
              <w:t>96.475.113,84</w:t>
            </w:r>
          </w:p>
        </w:tc>
        <w:tc>
          <w:tcPr>
            <w:tcW w:w="0" w:type="auto"/>
            <w:tcBorders>
              <w:top w:val="outset" w:sz="6" w:space="0" w:color="auto"/>
              <w:left w:val="outset" w:sz="6" w:space="0" w:color="auto"/>
              <w:bottom w:val="outset" w:sz="6" w:space="0" w:color="auto"/>
              <w:right w:val="outset" w:sz="6" w:space="0" w:color="auto"/>
            </w:tcBorders>
            <w:vAlign w:val="bottom"/>
            <w:hideMark/>
          </w:tcPr>
          <w:p w14:paraId="0F4E3CFD" w14:textId="7C880E2C" w:rsidR="00303CC6" w:rsidRPr="00C01518" w:rsidRDefault="00303CC6" w:rsidP="00303CC6">
            <w:pPr>
              <w:jc w:val="right"/>
              <w:rPr>
                <w:rFonts w:ascii="Arial" w:eastAsia="Times New Roman" w:hAnsi="Arial" w:cs="Arial"/>
                <w:sz w:val="14"/>
                <w:szCs w:val="14"/>
              </w:rPr>
            </w:pPr>
            <w:r w:rsidRPr="00C01518">
              <w:rPr>
                <w:rFonts w:ascii="Arial" w:eastAsia="Times New Roman" w:hAnsi="Arial" w:cs="Arial"/>
                <w:sz w:val="14"/>
                <w:szCs w:val="14"/>
              </w:rPr>
              <w:t>(64.158.922,32)</w:t>
            </w:r>
          </w:p>
        </w:tc>
        <w:tc>
          <w:tcPr>
            <w:tcW w:w="0" w:type="auto"/>
            <w:tcBorders>
              <w:top w:val="outset" w:sz="6" w:space="0" w:color="auto"/>
              <w:left w:val="outset" w:sz="6" w:space="0" w:color="auto"/>
              <w:bottom w:val="outset" w:sz="6" w:space="0" w:color="auto"/>
              <w:right w:val="outset" w:sz="6" w:space="0" w:color="auto"/>
            </w:tcBorders>
            <w:vAlign w:val="bottom"/>
            <w:hideMark/>
          </w:tcPr>
          <w:p w14:paraId="4786638B" w14:textId="10ACBABB" w:rsidR="00303CC6" w:rsidRPr="00C01518" w:rsidRDefault="00303CC6">
            <w:pPr>
              <w:jc w:val="right"/>
              <w:rPr>
                <w:rFonts w:ascii="Arial" w:eastAsia="Times New Roman" w:hAnsi="Arial" w:cs="Arial"/>
                <w:sz w:val="14"/>
                <w:szCs w:val="14"/>
              </w:rPr>
            </w:pPr>
            <w:r w:rsidRPr="00C01518">
              <w:rPr>
                <w:rFonts w:ascii="Arial" w:eastAsia="Times New Roman" w:hAnsi="Arial" w:cs="Arial"/>
                <w:sz w:val="14"/>
                <w:szCs w:val="14"/>
              </w:rPr>
              <w:t>32.316.191,52</w:t>
            </w:r>
          </w:p>
        </w:tc>
        <w:tc>
          <w:tcPr>
            <w:tcW w:w="0" w:type="auto"/>
            <w:tcBorders>
              <w:top w:val="outset" w:sz="6" w:space="0" w:color="auto"/>
              <w:left w:val="outset" w:sz="6" w:space="0" w:color="auto"/>
              <w:bottom w:val="outset" w:sz="6" w:space="0" w:color="auto"/>
              <w:right w:val="outset" w:sz="6" w:space="0" w:color="auto"/>
            </w:tcBorders>
            <w:vAlign w:val="bottom"/>
            <w:hideMark/>
          </w:tcPr>
          <w:p w14:paraId="09A596BA" w14:textId="731A0BCA" w:rsidR="00303CC6" w:rsidRPr="00C01518" w:rsidRDefault="00303CC6">
            <w:pPr>
              <w:jc w:val="right"/>
              <w:rPr>
                <w:rFonts w:eastAsia="Times New Roman"/>
                <w:sz w:val="14"/>
                <w:szCs w:val="14"/>
              </w:rPr>
            </w:pPr>
            <w:r w:rsidRPr="00C01518">
              <w:rPr>
                <w:rFonts w:ascii="Arial" w:eastAsia="Times New Roman" w:hAnsi="Arial" w:cs="Arial"/>
                <w:sz w:val="14"/>
                <w:szCs w:val="14"/>
              </w:rPr>
              <w:t>Valor Justo por Meio do Resultado</w:t>
            </w:r>
          </w:p>
        </w:tc>
      </w:tr>
      <w:tr w:rsidR="00303CC6" w:rsidRPr="00C01518" w14:paraId="0721C5D5" w14:textId="77777777" w:rsidTr="00C01518">
        <w:trPr>
          <w:trHeight w:val="150"/>
        </w:trPr>
        <w:tc>
          <w:tcPr>
            <w:tcW w:w="0" w:type="auto"/>
            <w:vMerge/>
            <w:tcBorders>
              <w:left w:val="outset" w:sz="6" w:space="0" w:color="auto"/>
              <w:bottom w:val="outset" w:sz="6" w:space="0" w:color="auto"/>
              <w:right w:val="outset" w:sz="6" w:space="0" w:color="auto"/>
            </w:tcBorders>
            <w:vAlign w:val="center"/>
            <w:hideMark/>
          </w:tcPr>
          <w:p w14:paraId="3D7B32B8" w14:textId="4FE91F0A" w:rsidR="00303CC6" w:rsidRPr="00C01518" w:rsidRDefault="00303CC6">
            <w:pPr>
              <w:jc w:val="center"/>
              <w:rPr>
                <w:rFonts w:eastAsia="Times New Roman"/>
                <w:sz w:val="14"/>
                <w:szCs w:val="14"/>
              </w:rPr>
            </w:pPr>
          </w:p>
        </w:tc>
        <w:tc>
          <w:tcPr>
            <w:tcW w:w="0" w:type="auto"/>
            <w:tcBorders>
              <w:top w:val="outset" w:sz="6" w:space="0" w:color="auto"/>
              <w:left w:val="outset" w:sz="6" w:space="0" w:color="auto"/>
              <w:bottom w:val="outset" w:sz="6" w:space="0" w:color="auto"/>
              <w:right w:val="outset" w:sz="6" w:space="0" w:color="auto"/>
            </w:tcBorders>
            <w:vAlign w:val="bottom"/>
            <w:hideMark/>
          </w:tcPr>
          <w:p w14:paraId="3A558EBE" w14:textId="77777777" w:rsidR="00303CC6" w:rsidRPr="00C01518" w:rsidRDefault="00303CC6">
            <w:pPr>
              <w:jc w:val="right"/>
              <w:rPr>
                <w:rFonts w:eastAsia="Times New Roman"/>
                <w:sz w:val="14"/>
                <w:szCs w:val="14"/>
              </w:rPr>
            </w:pPr>
            <w:r w:rsidRPr="00C01518">
              <w:rPr>
                <w:rFonts w:ascii="Arial" w:eastAsia="Times New Roman" w:hAnsi="Arial" w:cs="Arial"/>
                <w:sz w:val="14"/>
                <w:szCs w:val="14"/>
              </w:rPr>
              <w:t>Provisão para perdas esperadas</w:t>
            </w:r>
          </w:p>
        </w:tc>
        <w:tc>
          <w:tcPr>
            <w:tcW w:w="0" w:type="auto"/>
            <w:tcBorders>
              <w:top w:val="outset" w:sz="6" w:space="0" w:color="auto"/>
              <w:left w:val="outset" w:sz="6" w:space="0" w:color="auto"/>
              <w:bottom w:val="outset" w:sz="6" w:space="0" w:color="auto"/>
              <w:right w:val="outset" w:sz="6" w:space="0" w:color="auto"/>
            </w:tcBorders>
            <w:vAlign w:val="bottom"/>
            <w:hideMark/>
          </w:tcPr>
          <w:p w14:paraId="7F51D6F3" w14:textId="7D0CE798" w:rsidR="00303CC6" w:rsidRPr="00C01518" w:rsidRDefault="00303CC6">
            <w:pPr>
              <w:jc w:val="right"/>
              <w:rPr>
                <w:rFonts w:ascii="Arial" w:eastAsia="Times New Roman" w:hAnsi="Arial" w:cs="Arial"/>
                <w:sz w:val="14"/>
                <w:szCs w:val="14"/>
              </w:rPr>
            </w:pPr>
            <w:r w:rsidRPr="00C01518">
              <w:rPr>
                <w:rFonts w:ascii="Arial" w:eastAsia="Times New Roman" w:hAnsi="Arial" w:cs="Arial"/>
                <w:sz w:val="14"/>
                <w:szCs w:val="14"/>
              </w:rPr>
              <w:t>(344.449,84)</w:t>
            </w:r>
          </w:p>
        </w:tc>
        <w:tc>
          <w:tcPr>
            <w:tcW w:w="0" w:type="auto"/>
            <w:tcBorders>
              <w:top w:val="outset" w:sz="6" w:space="0" w:color="auto"/>
              <w:left w:val="outset" w:sz="6" w:space="0" w:color="auto"/>
              <w:bottom w:val="outset" w:sz="6" w:space="0" w:color="auto"/>
              <w:right w:val="outset" w:sz="6" w:space="0" w:color="auto"/>
            </w:tcBorders>
            <w:vAlign w:val="bottom"/>
            <w:hideMark/>
          </w:tcPr>
          <w:p w14:paraId="01B036DF" w14:textId="572A752E" w:rsidR="00303CC6" w:rsidRPr="00C01518" w:rsidRDefault="00303CC6" w:rsidP="00303CC6">
            <w:pPr>
              <w:jc w:val="right"/>
              <w:rPr>
                <w:rFonts w:ascii="Arial" w:eastAsia="Times New Roman" w:hAnsi="Arial" w:cs="Arial"/>
                <w:sz w:val="14"/>
                <w:szCs w:val="14"/>
              </w:rPr>
            </w:pPr>
            <w:r w:rsidRPr="00C01518">
              <w:rPr>
                <w:rFonts w:ascii="Arial" w:eastAsia="Times New Roman" w:hAnsi="Arial" w:cs="Arial"/>
                <w:sz w:val="14"/>
                <w:szCs w:val="14"/>
              </w:rPr>
              <w:t>344.449,84</w:t>
            </w:r>
          </w:p>
        </w:tc>
        <w:tc>
          <w:tcPr>
            <w:tcW w:w="0" w:type="auto"/>
            <w:tcBorders>
              <w:top w:val="outset" w:sz="6" w:space="0" w:color="auto"/>
              <w:left w:val="outset" w:sz="6" w:space="0" w:color="auto"/>
              <w:bottom w:val="outset" w:sz="6" w:space="0" w:color="auto"/>
              <w:right w:val="outset" w:sz="6" w:space="0" w:color="auto"/>
            </w:tcBorders>
            <w:vAlign w:val="bottom"/>
            <w:hideMark/>
          </w:tcPr>
          <w:p w14:paraId="6035AF99" w14:textId="74EAE25D" w:rsidR="00303CC6" w:rsidRPr="00C01518" w:rsidRDefault="00303CC6">
            <w:pPr>
              <w:jc w:val="right"/>
              <w:rPr>
                <w:rFonts w:ascii="Arial" w:eastAsia="Times New Roman" w:hAnsi="Arial" w:cs="Arial"/>
                <w:sz w:val="14"/>
                <w:szCs w:val="14"/>
              </w:rPr>
            </w:pPr>
            <w:r w:rsidRPr="00C01518">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bottom"/>
            <w:hideMark/>
          </w:tcPr>
          <w:p w14:paraId="069E6F55" w14:textId="7EEE8E3A" w:rsidR="00303CC6" w:rsidRPr="00C01518" w:rsidRDefault="00303CC6">
            <w:pPr>
              <w:jc w:val="right"/>
              <w:rPr>
                <w:rFonts w:eastAsia="Times New Roman"/>
                <w:sz w:val="14"/>
                <w:szCs w:val="14"/>
              </w:rPr>
            </w:pPr>
            <w:r w:rsidRPr="00C01518">
              <w:rPr>
                <w:rFonts w:ascii="Arial" w:eastAsia="Times New Roman" w:hAnsi="Arial" w:cs="Arial"/>
                <w:sz w:val="14"/>
                <w:szCs w:val="14"/>
              </w:rPr>
              <w:t>Custo Amortizado</w:t>
            </w:r>
          </w:p>
        </w:tc>
      </w:tr>
      <w:tr w:rsidR="00BA3275" w:rsidRPr="00C01518" w14:paraId="4883937C" w14:textId="77777777" w:rsidTr="00C01518">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5AF2777" w14:textId="77777777" w:rsidR="00BA3275" w:rsidRPr="00C01518" w:rsidRDefault="00000000">
            <w:pPr>
              <w:jc w:val="center"/>
              <w:rPr>
                <w:rFonts w:eastAsia="Times New Roman"/>
                <w:sz w:val="14"/>
                <w:szCs w:val="14"/>
              </w:rPr>
            </w:pPr>
            <w:r w:rsidRPr="00C01518">
              <w:rPr>
                <w:rFonts w:ascii="Arial" w:eastAsia="Times New Roman" w:hAnsi="Arial" w:cs="Arial"/>
                <w:b/>
                <w:bCs/>
                <w:sz w:val="14"/>
                <w:szCs w:val="14"/>
              </w:rPr>
              <w:t>Relações Interfinanceiras</w:t>
            </w:r>
          </w:p>
        </w:tc>
        <w:tc>
          <w:tcPr>
            <w:tcW w:w="0" w:type="auto"/>
            <w:tcBorders>
              <w:top w:val="outset" w:sz="6" w:space="0" w:color="auto"/>
              <w:left w:val="outset" w:sz="6" w:space="0" w:color="auto"/>
              <w:bottom w:val="outset" w:sz="6" w:space="0" w:color="auto"/>
              <w:right w:val="outset" w:sz="6" w:space="0" w:color="auto"/>
            </w:tcBorders>
            <w:vAlign w:val="bottom"/>
            <w:hideMark/>
          </w:tcPr>
          <w:p w14:paraId="1B89C4B8" w14:textId="77777777" w:rsidR="00BA3275" w:rsidRPr="00C01518" w:rsidRDefault="00000000">
            <w:pPr>
              <w:jc w:val="right"/>
              <w:rPr>
                <w:rFonts w:eastAsia="Times New Roman"/>
                <w:sz w:val="14"/>
                <w:szCs w:val="14"/>
              </w:rPr>
            </w:pPr>
            <w:r w:rsidRPr="00C01518">
              <w:rPr>
                <w:rFonts w:ascii="Arial" w:eastAsia="Times New Roman" w:hAnsi="Arial" w:cs="Arial"/>
                <w:sz w:val="14"/>
                <w:szCs w:val="14"/>
              </w:rPr>
              <w:t>Relações Interfinanceiras e Interdependências</w:t>
            </w:r>
          </w:p>
        </w:tc>
        <w:tc>
          <w:tcPr>
            <w:tcW w:w="0" w:type="auto"/>
            <w:tcBorders>
              <w:top w:val="outset" w:sz="6" w:space="0" w:color="auto"/>
              <w:left w:val="outset" w:sz="6" w:space="0" w:color="auto"/>
              <w:bottom w:val="outset" w:sz="6" w:space="0" w:color="auto"/>
              <w:right w:val="outset" w:sz="6" w:space="0" w:color="auto"/>
            </w:tcBorders>
            <w:vAlign w:val="bottom"/>
            <w:hideMark/>
          </w:tcPr>
          <w:p w14:paraId="0F4C7B12" w14:textId="735C2C85" w:rsidR="00BA3275" w:rsidRPr="00C01518" w:rsidRDefault="00303CC6">
            <w:pPr>
              <w:jc w:val="right"/>
              <w:rPr>
                <w:rFonts w:ascii="Arial" w:eastAsia="Times New Roman" w:hAnsi="Arial" w:cs="Arial"/>
                <w:sz w:val="14"/>
                <w:szCs w:val="14"/>
              </w:rPr>
            </w:pPr>
            <w:r w:rsidRPr="00C01518">
              <w:rPr>
                <w:rFonts w:ascii="Arial" w:eastAsia="Times New Roman" w:hAnsi="Arial" w:cs="Arial"/>
                <w:sz w:val="14"/>
                <w:szCs w:val="14"/>
              </w:rPr>
              <w:t>500.864.095,62</w:t>
            </w:r>
          </w:p>
        </w:tc>
        <w:tc>
          <w:tcPr>
            <w:tcW w:w="0" w:type="auto"/>
            <w:tcBorders>
              <w:top w:val="outset" w:sz="6" w:space="0" w:color="auto"/>
              <w:left w:val="outset" w:sz="6" w:space="0" w:color="auto"/>
              <w:bottom w:val="outset" w:sz="6" w:space="0" w:color="auto"/>
              <w:right w:val="outset" w:sz="6" w:space="0" w:color="auto"/>
            </w:tcBorders>
            <w:vAlign w:val="bottom"/>
            <w:hideMark/>
          </w:tcPr>
          <w:p w14:paraId="041A2C2C" w14:textId="4C852AA7" w:rsidR="00BA3275" w:rsidRPr="00C01518" w:rsidRDefault="00303CC6">
            <w:pPr>
              <w:jc w:val="right"/>
              <w:rPr>
                <w:rFonts w:ascii="Arial" w:eastAsia="Times New Roman" w:hAnsi="Arial" w:cs="Arial"/>
                <w:sz w:val="14"/>
                <w:szCs w:val="14"/>
              </w:rPr>
            </w:pPr>
            <w:r w:rsidRPr="00C01518">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bottom"/>
            <w:hideMark/>
          </w:tcPr>
          <w:p w14:paraId="7B1D4429" w14:textId="7863AF9C" w:rsidR="00BA3275" w:rsidRPr="00C01518" w:rsidRDefault="00303CC6">
            <w:pPr>
              <w:jc w:val="right"/>
              <w:rPr>
                <w:rFonts w:ascii="Arial" w:eastAsia="Times New Roman" w:hAnsi="Arial" w:cs="Arial"/>
                <w:sz w:val="14"/>
                <w:szCs w:val="14"/>
              </w:rPr>
            </w:pPr>
            <w:r w:rsidRPr="00C01518">
              <w:rPr>
                <w:rFonts w:ascii="Arial" w:eastAsia="Times New Roman" w:hAnsi="Arial" w:cs="Arial"/>
                <w:sz w:val="14"/>
                <w:szCs w:val="14"/>
              </w:rPr>
              <w:t>500.864.095,62</w:t>
            </w:r>
          </w:p>
        </w:tc>
        <w:tc>
          <w:tcPr>
            <w:tcW w:w="0" w:type="auto"/>
            <w:tcBorders>
              <w:top w:val="outset" w:sz="6" w:space="0" w:color="auto"/>
              <w:left w:val="outset" w:sz="6" w:space="0" w:color="auto"/>
              <w:bottom w:val="outset" w:sz="6" w:space="0" w:color="auto"/>
              <w:right w:val="outset" w:sz="6" w:space="0" w:color="auto"/>
            </w:tcBorders>
            <w:vAlign w:val="bottom"/>
            <w:hideMark/>
          </w:tcPr>
          <w:p w14:paraId="2CCCD13B" w14:textId="61E116F0" w:rsidR="00BA3275" w:rsidRPr="00C01518" w:rsidRDefault="00303CC6">
            <w:pPr>
              <w:jc w:val="right"/>
              <w:rPr>
                <w:rFonts w:eastAsia="Times New Roman"/>
                <w:sz w:val="14"/>
                <w:szCs w:val="14"/>
              </w:rPr>
            </w:pPr>
            <w:r w:rsidRPr="00C01518">
              <w:rPr>
                <w:rFonts w:ascii="Arial" w:eastAsia="Times New Roman" w:hAnsi="Arial" w:cs="Arial"/>
                <w:sz w:val="14"/>
                <w:szCs w:val="14"/>
              </w:rPr>
              <w:t>Custo Amortizado</w:t>
            </w:r>
          </w:p>
        </w:tc>
      </w:tr>
      <w:tr w:rsidR="00303CC6" w:rsidRPr="00C01518" w14:paraId="15EA2280" w14:textId="77777777" w:rsidTr="00C01518">
        <w:trPr>
          <w:trHeight w:val="150"/>
        </w:trPr>
        <w:tc>
          <w:tcPr>
            <w:tcW w:w="0" w:type="auto"/>
            <w:vMerge w:val="restart"/>
            <w:tcBorders>
              <w:top w:val="outset" w:sz="6" w:space="0" w:color="auto"/>
              <w:left w:val="outset" w:sz="6" w:space="0" w:color="auto"/>
              <w:right w:val="outset" w:sz="6" w:space="0" w:color="auto"/>
            </w:tcBorders>
            <w:vAlign w:val="center"/>
            <w:hideMark/>
          </w:tcPr>
          <w:p w14:paraId="2AD75E8B" w14:textId="7F658012" w:rsidR="00303CC6" w:rsidRPr="00C01518" w:rsidRDefault="00303CC6" w:rsidP="00303CC6">
            <w:pPr>
              <w:jc w:val="center"/>
              <w:rPr>
                <w:rFonts w:eastAsia="Times New Roman"/>
                <w:sz w:val="14"/>
                <w:szCs w:val="14"/>
              </w:rPr>
            </w:pPr>
            <w:r w:rsidRPr="00C01518">
              <w:rPr>
                <w:rFonts w:ascii="Arial" w:eastAsia="Times New Roman" w:hAnsi="Arial" w:cs="Arial"/>
                <w:b/>
                <w:bCs/>
                <w:sz w:val="14"/>
                <w:szCs w:val="14"/>
              </w:rPr>
              <w:t>Operações de Crédito</w:t>
            </w:r>
          </w:p>
        </w:tc>
        <w:tc>
          <w:tcPr>
            <w:tcW w:w="0" w:type="auto"/>
            <w:tcBorders>
              <w:top w:val="outset" w:sz="6" w:space="0" w:color="auto"/>
              <w:left w:val="outset" w:sz="6" w:space="0" w:color="auto"/>
              <w:bottom w:val="outset" w:sz="6" w:space="0" w:color="auto"/>
              <w:right w:val="outset" w:sz="6" w:space="0" w:color="auto"/>
            </w:tcBorders>
            <w:vAlign w:val="bottom"/>
            <w:hideMark/>
          </w:tcPr>
          <w:p w14:paraId="2352C86C" w14:textId="77777777" w:rsidR="00303CC6" w:rsidRPr="00C01518" w:rsidRDefault="00303CC6" w:rsidP="00303CC6">
            <w:pPr>
              <w:jc w:val="right"/>
              <w:rPr>
                <w:rFonts w:eastAsia="Times New Roman"/>
                <w:sz w:val="14"/>
                <w:szCs w:val="14"/>
              </w:rPr>
            </w:pPr>
            <w:r w:rsidRPr="00C01518">
              <w:rPr>
                <w:rFonts w:ascii="Arial" w:eastAsia="Times New Roman" w:hAnsi="Arial" w:cs="Arial"/>
                <w:sz w:val="14"/>
                <w:szCs w:val="14"/>
              </w:rPr>
              <w:t>Operações de Crédito</w:t>
            </w:r>
          </w:p>
        </w:tc>
        <w:tc>
          <w:tcPr>
            <w:tcW w:w="0" w:type="auto"/>
            <w:tcBorders>
              <w:top w:val="outset" w:sz="6" w:space="0" w:color="auto"/>
              <w:left w:val="outset" w:sz="6" w:space="0" w:color="auto"/>
              <w:bottom w:val="outset" w:sz="6" w:space="0" w:color="auto"/>
              <w:right w:val="outset" w:sz="6" w:space="0" w:color="auto"/>
            </w:tcBorders>
            <w:vAlign w:val="bottom"/>
            <w:hideMark/>
          </w:tcPr>
          <w:p w14:paraId="39DFAD7A" w14:textId="6B67B9B4" w:rsidR="00303CC6" w:rsidRPr="00C01518" w:rsidRDefault="00303CC6" w:rsidP="00303CC6">
            <w:pPr>
              <w:jc w:val="right"/>
              <w:rPr>
                <w:rFonts w:ascii="Arial" w:eastAsia="Times New Roman" w:hAnsi="Arial" w:cs="Arial"/>
                <w:sz w:val="14"/>
                <w:szCs w:val="14"/>
              </w:rPr>
            </w:pPr>
            <w:r w:rsidRPr="00C01518">
              <w:rPr>
                <w:rFonts w:ascii="Arial" w:eastAsia="Times New Roman" w:hAnsi="Arial" w:cs="Arial"/>
                <w:sz w:val="14"/>
                <w:szCs w:val="14"/>
              </w:rPr>
              <w:t>459.784.273,70</w:t>
            </w:r>
          </w:p>
        </w:tc>
        <w:tc>
          <w:tcPr>
            <w:tcW w:w="0" w:type="auto"/>
            <w:tcBorders>
              <w:top w:val="outset" w:sz="6" w:space="0" w:color="auto"/>
              <w:left w:val="outset" w:sz="6" w:space="0" w:color="auto"/>
              <w:bottom w:val="outset" w:sz="6" w:space="0" w:color="auto"/>
              <w:right w:val="outset" w:sz="6" w:space="0" w:color="auto"/>
            </w:tcBorders>
            <w:vAlign w:val="bottom"/>
            <w:hideMark/>
          </w:tcPr>
          <w:p w14:paraId="550EFDC8" w14:textId="52A21D35" w:rsidR="00303CC6" w:rsidRPr="00C01518" w:rsidRDefault="00303CC6" w:rsidP="00303CC6">
            <w:pPr>
              <w:jc w:val="right"/>
              <w:rPr>
                <w:rFonts w:ascii="Arial" w:eastAsia="Times New Roman" w:hAnsi="Arial" w:cs="Arial"/>
                <w:sz w:val="14"/>
                <w:szCs w:val="14"/>
              </w:rPr>
            </w:pPr>
            <w:r w:rsidRPr="00C01518">
              <w:rPr>
                <w:rFonts w:ascii="Arial" w:eastAsia="Times New Roman" w:hAnsi="Arial" w:cs="Arial"/>
                <w:sz w:val="14"/>
                <w:szCs w:val="14"/>
              </w:rPr>
              <w:t>4.949,27</w:t>
            </w:r>
          </w:p>
        </w:tc>
        <w:tc>
          <w:tcPr>
            <w:tcW w:w="0" w:type="auto"/>
            <w:tcBorders>
              <w:top w:val="outset" w:sz="6" w:space="0" w:color="auto"/>
              <w:left w:val="outset" w:sz="6" w:space="0" w:color="auto"/>
              <w:bottom w:val="outset" w:sz="6" w:space="0" w:color="auto"/>
              <w:right w:val="outset" w:sz="6" w:space="0" w:color="auto"/>
            </w:tcBorders>
            <w:vAlign w:val="bottom"/>
            <w:hideMark/>
          </w:tcPr>
          <w:p w14:paraId="3B2AC10A" w14:textId="3F79DFF7" w:rsidR="00303CC6" w:rsidRPr="00C01518" w:rsidRDefault="00303CC6" w:rsidP="00303CC6">
            <w:pPr>
              <w:jc w:val="right"/>
              <w:rPr>
                <w:rFonts w:ascii="Arial" w:eastAsia="Times New Roman" w:hAnsi="Arial" w:cs="Arial"/>
                <w:sz w:val="14"/>
                <w:szCs w:val="14"/>
              </w:rPr>
            </w:pPr>
            <w:r w:rsidRPr="00C01518">
              <w:rPr>
                <w:rFonts w:ascii="Arial" w:eastAsia="Times New Roman" w:hAnsi="Arial" w:cs="Arial"/>
                <w:sz w:val="14"/>
                <w:szCs w:val="14"/>
              </w:rPr>
              <w:t>459.789.222,97</w:t>
            </w:r>
          </w:p>
        </w:tc>
        <w:tc>
          <w:tcPr>
            <w:tcW w:w="0" w:type="auto"/>
            <w:tcBorders>
              <w:top w:val="outset" w:sz="6" w:space="0" w:color="auto"/>
              <w:left w:val="outset" w:sz="6" w:space="0" w:color="auto"/>
              <w:bottom w:val="outset" w:sz="6" w:space="0" w:color="auto"/>
              <w:right w:val="outset" w:sz="6" w:space="0" w:color="auto"/>
            </w:tcBorders>
            <w:vAlign w:val="bottom"/>
            <w:hideMark/>
          </w:tcPr>
          <w:p w14:paraId="723C7F3C" w14:textId="77777777" w:rsidR="00303CC6" w:rsidRPr="00C01518" w:rsidRDefault="00303CC6" w:rsidP="00303CC6">
            <w:pPr>
              <w:jc w:val="right"/>
              <w:rPr>
                <w:rFonts w:eastAsia="Times New Roman"/>
                <w:sz w:val="14"/>
                <w:szCs w:val="14"/>
              </w:rPr>
            </w:pPr>
            <w:r w:rsidRPr="00C01518">
              <w:rPr>
                <w:rFonts w:ascii="Arial" w:eastAsia="Times New Roman" w:hAnsi="Arial" w:cs="Arial"/>
                <w:sz w:val="14"/>
                <w:szCs w:val="14"/>
              </w:rPr>
              <w:t>Custo Amortizado</w:t>
            </w:r>
          </w:p>
        </w:tc>
      </w:tr>
      <w:tr w:rsidR="00303CC6" w:rsidRPr="00C01518" w14:paraId="3EA22506" w14:textId="77777777" w:rsidTr="00C01518">
        <w:trPr>
          <w:trHeight w:val="150"/>
        </w:trPr>
        <w:tc>
          <w:tcPr>
            <w:tcW w:w="0" w:type="auto"/>
            <w:vMerge/>
            <w:tcBorders>
              <w:left w:val="outset" w:sz="6" w:space="0" w:color="auto"/>
              <w:bottom w:val="outset" w:sz="6" w:space="0" w:color="auto"/>
              <w:right w:val="outset" w:sz="6" w:space="0" w:color="auto"/>
            </w:tcBorders>
            <w:vAlign w:val="center"/>
            <w:hideMark/>
          </w:tcPr>
          <w:p w14:paraId="523A4C29" w14:textId="726A7746" w:rsidR="00303CC6" w:rsidRPr="00C01518" w:rsidRDefault="00303CC6" w:rsidP="00303CC6">
            <w:pPr>
              <w:jc w:val="center"/>
              <w:rPr>
                <w:rFonts w:eastAsia="Times New Roman"/>
                <w:sz w:val="14"/>
                <w:szCs w:val="14"/>
              </w:rPr>
            </w:pPr>
          </w:p>
        </w:tc>
        <w:tc>
          <w:tcPr>
            <w:tcW w:w="0" w:type="auto"/>
            <w:tcBorders>
              <w:top w:val="outset" w:sz="6" w:space="0" w:color="auto"/>
              <w:left w:val="outset" w:sz="6" w:space="0" w:color="auto"/>
              <w:bottom w:val="outset" w:sz="6" w:space="0" w:color="auto"/>
              <w:right w:val="outset" w:sz="6" w:space="0" w:color="auto"/>
            </w:tcBorders>
            <w:vAlign w:val="bottom"/>
            <w:hideMark/>
          </w:tcPr>
          <w:p w14:paraId="21889B8F" w14:textId="77777777" w:rsidR="00303CC6" w:rsidRPr="00C01518" w:rsidRDefault="00303CC6" w:rsidP="00303CC6">
            <w:pPr>
              <w:jc w:val="right"/>
              <w:rPr>
                <w:rFonts w:eastAsia="Times New Roman"/>
                <w:sz w:val="14"/>
                <w:szCs w:val="14"/>
              </w:rPr>
            </w:pPr>
            <w:r w:rsidRPr="00C01518">
              <w:rPr>
                <w:rFonts w:ascii="Arial" w:eastAsia="Times New Roman" w:hAnsi="Arial" w:cs="Arial"/>
                <w:sz w:val="14"/>
                <w:szCs w:val="14"/>
              </w:rPr>
              <w:t>Provisão para Perdas Esperadas Associadas ao Risco de Crédito</w:t>
            </w:r>
          </w:p>
        </w:tc>
        <w:tc>
          <w:tcPr>
            <w:tcW w:w="0" w:type="auto"/>
            <w:tcBorders>
              <w:top w:val="outset" w:sz="6" w:space="0" w:color="auto"/>
              <w:left w:val="outset" w:sz="6" w:space="0" w:color="auto"/>
              <w:bottom w:val="outset" w:sz="6" w:space="0" w:color="auto"/>
              <w:right w:val="outset" w:sz="6" w:space="0" w:color="auto"/>
            </w:tcBorders>
            <w:vAlign w:val="bottom"/>
            <w:hideMark/>
          </w:tcPr>
          <w:p w14:paraId="10C48E8D" w14:textId="2121DC6D" w:rsidR="00303CC6" w:rsidRPr="00C01518" w:rsidRDefault="00303CC6" w:rsidP="00303CC6">
            <w:pPr>
              <w:jc w:val="right"/>
              <w:rPr>
                <w:rFonts w:ascii="Arial" w:eastAsia="Times New Roman" w:hAnsi="Arial" w:cs="Arial"/>
                <w:sz w:val="14"/>
                <w:szCs w:val="14"/>
              </w:rPr>
            </w:pPr>
            <w:r w:rsidRPr="00C01518">
              <w:rPr>
                <w:rFonts w:ascii="Arial" w:eastAsia="Times New Roman" w:hAnsi="Arial" w:cs="Arial"/>
                <w:sz w:val="14"/>
                <w:szCs w:val="14"/>
              </w:rPr>
              <w:t>(26.244.159,99)</w:t>
            </w:r>
          </w:p>
        </w:tc>
        <w:tc>
          <w:tcPr>
            <w:tcW w:w="0" w:type="auto"/>
            <w:tcBorders>
              <w:top w:val="outset" w:sz="6" w:space="0" w:color="auto"/>
              <w:left w:val="outset" w:sz="6" w:space="0" w:color="auto"/>
              <w:bottom w:val="outset" w:sz="6" w:space="0" w:color="auto"/>
              <w:right w:val="outset" w:sz="6" w:space="0" w:color="auto"/>
            </w:tcBorders>
            <w:vAlign w:val="bottom"/>
            <w:hideMark/>
          </w:tcPr>
          <w:p w14:paraId="5F9D6347" w14:textId="6BA023D0" w:rsidR="00303CC6" w:rsidRPr="00C01518" w:rsidRDefault="00303CC6" w:rsidP="00303CC6">
            <w:pPr>
              <w:jc w:val="right"/>
              <w:rPr>
                <w:rFonts w:ascii="Arial" w:eastAsia="Times New Roman" w:hAnsi="Arial" w:cs="Arial"/>
                <w:sz w:val="14"/>
                <w:szCs w:val="14"/>
              </w:rPr>
            </w:pPr>
            <w:r w:rsidRPr="00C01518">
              <w:rPr>
                <w:rFonts w:ascii="Arial" w:eastAsia="Times New Roman" w:hAnsi="Arial" w:cs="Arial"/>
                <w:sz w:val="14"/>
                <w:szCs w:val="14"/>
              </w:rPr>
              <w:t>6.499.619,23</w:t>
            </w:r>
          </w:p>
        </w:tc>
        <w:tc>
          <w:tcPr>
            <w:tcW w:w="0" w:type="auto"/>
            <w:tcBorders>
              <w:top w:val="outset" w:sz="6" w:space="0" w:color="auto"/>
              <w:left w:val="outset" w:sz="6" w:space="0" w:color="auto"/>
              <w:bottom w:val="outset" w:sz="6" w:space="0" w:color="auto"/>
              <w:right w:val="outset" w:sz="6" w:space="0" w:color="auto"/>
            </w:tcBorders>
            <w:vAlign w:val="bottom"/>
            <w:hideMark/>
          </w:tcPr>
          <w:p w14:paraId="33F69381" w14:textId="5D89A936" w:rsidR="00303CC6" w:rsidRPr="00C01518" w:rsidRDefault="00303CC6" w:rsidP="00303CC6">
            <w:pPr>
              <w:jc w:val="right"/>
              <w:rPr>
                <w:rFonts w:ascii="Arial" w:eastAsia="Times New Roman" w:hAnsi="Arial" w:cs="Arial"/>
                <w:sz w:val="14"/>
                <w:szCs w:val="14"/>
              </w:rPr>
            </w:pPr>
            <w:r w:rsidRPr="00C01518">
              <w:rPr>
                <w:rFonts w:ascii="Arial" w:eastAsia="Times New Roman" w:hAnsi="Arial" w:cs="Arial"/>
                <w:sz w:val="14"/>
                <w:szCs w:val="14"/>
              </w:rPr>
              <w:t>(19.744.540,76)</w:t>
            </w:r>
          </w:p>
        </w:tc>
        <w:tc>
          <w:tcPr>
            <w:tcW w:w="0" w:type="auto"/>
            <w:tcBorders>
              <w:top w:val="outset" w:sz="6" w:space="0" w:color="auto"/>
              <w:left w:val="outset" w:sz="6" w:space="0" w:color="auto"/>
              <w:bottom w:val="outset" w:sz="6" w:space="0" w:color="auto"/>
              <w:right w:val="outset" w:sz="6" w:space="0" w:color="auto"/>
            </w:tcBorders>
            <w:vAlign w:val="bottom"/>
            <w:hideMark/>
          </w:tcPr>
          <w:p w14:paraId="1585873E" w14:textId="77777777" w:rsidR="00303CC6" w:rsidRPr="00C01518" w:rsidRDefault="00303CC6" w:rsidP="00303CC6">
            <w:pPr>
              <w:jc w:val="right"/>
              <w:rPr>
                <w:rFonts w:eastAsia="Times New Roman"/>
                <w:sz w:val="14"/>
                <w:szCs w:val="14"/>
              </w:rPr>
            </w:pPr>
            <w:r w:rsidRPr="00C01518">
              <w:rPr>
                <w:rFonts w:ascii="Arial" w:eastAsia="Times New Roman" w:hAnsi="Arial" w:cs="Arial"/>
                <w:sz w:val="14"/>
                <w:szCs w:val="14"/>
              </w:rPr>
              <w:t>Custo Amortizado</w:t>
            </w:r>
          </w:p>
        </w:tc>
      </w:tr>
      <w:tr w:rsidR="00C01518" w:rsidRPr="00C01518" w14:paraId="30D5B338" w14:textId="77777777" w:rsidTr="00C01518">
        <w:trPr>
          <w:trHeight w:val="150"/>
        </w:trPr>
        <w:tc>
          <w:tcPr>
            <w:tcW w:w="0" w:type="auto"/>
            <w:vMerge w:val="restart"/>
            <w:tcBorders>
              <w:top w:val="outset" w:sz="6" w:space="0" w:color="auto"/>
              <w:left w:val="outset" w:sz="6" w:space="0" w:color="auto"/>
              <w:right w:val="outset" w:sz="6" w:space="0" w:color="auto"/>
            </w:tcBorders>
            <w:vAlign w:val="center"/>
            <w:hideMark/>
          </w:tcPr>
          <w:p w14:paraId="6D73264D" w14:textId="4207944B" w:rsidR="00C01518" w:rsidRPr="00C01518" w:rsidRDefault="00C01518" w:rsidP="00303CC6">
            <w:pPr>
              <w:jc w:val="center"/>
              <w:rPr>
                <w:rFonts w:eastAsia="Times New Roman"/>
                <w:sz w:val="14"/>
                <w:szCs w:val="14"/>
              </w:rPr>
            </w:pPr>
            <w:r w:rsidRPr="00C01518">
              <w:rPr>
                <w:rFonts w:ascii="Arial" w:eastAsia="Times New Roman" w:hAnsi="Arial" w:cs="Arial"/>
                <w:b/>
                <w:bCs/>
                <w:sz w:val="14"/>
                <w:szCs w:val="14"/>
              </w:rPr>
              <w:t>Outros Créditos</w:t>
            </w:r>
          </w:p>
        </w:tc>
        <w:tc>
          <w:tcPr>
            <w:tcW w:w="0" w:type="auto"/>
            <w:tcBorders>
              <w:top w:val="outset" w:sz="6" w:space="0" w:color="auto"/>
              <w:left w:val="outset" w:sz="6" w:space="0" w:color="auto"/>
              <w:bottom w:val="outset" w:sz="6" w:space="0" w:color="auto"/>
              <w:right w:val="outset" w:sz="6" w:space="0" w:color="auto"/>
            </w:tcBorders>
            <w:vAlign w:val="bottom"/>
            <w:hideMark/>
          </w:tcPr>
          <w:p w14:paraId="759150FB" w14:textId="77777777" w:rsidR="00C01518" w:rsidRPr="00C01518" w:rsidRDefault="00C01518" w:rsidP="00303CC6">
            <w:pPr>
              <w:jc w:val="right"/>
              <w:rPr>
                <w:rFonts w:eastAsia="Times New Roman"/>
                <w:sz w:val="14"/>
                <w:szCs w:val="14"/>
              </w:rPr>
            </w:pPr>
            <w:r w:rsidRPr="00C01518">
              <w:rPr>
                <w:rFonts w:ascii="Arial" w:eastAsia="Times New Roman" w:hAnsi="Arial" w:cs="Arial"/>
                <w:sz w:val="14"/>
                <w:szCs w:val="14"/>
              </w:rPr>
              <w:t>Créditos por Avais e Fianças Horados</w:t>
            </w:r>
          </w:p>
        </w:tc>
        <w:tc>
          <w:tcPr>
            <w:tcW w:w="0" w:type="auto"/>
            <w:tcBorders>
              <w:top w:val="outset" w:sz="6" w:space="0" w:color="auto"/>
              <w:left w:val="outset" w:sz="6" w:space="0" w:color="auto"/>
              <w:bottom w:val="outset" w:sz="6" w:space="0" w:color="auto"/>
              <w:right w:val="outset" w:sz="6" w:space="0" w:color="auto"/>
            </w:tcBorders>
            <w:vAlign w:val="bottom"/>
            <w:hideMark/>
          </w:tcPr>
          <w:p w14:paraId="62DC9482" w14:textId="52243B55" w:rsidR="00C01518" w:rsidRPr="00C01518" w:rsidRDefault="00C01518" w:rsidP="00303CC6">
            <w:pPr>
              <w:jc w:val="right"/>
              <w:rPr>
                <w:rFonts w:ascii="Arial" w:eastAsia="Times New Roman" w:hAnsi="Arial" w:cs="Arial"/>
                <w:sz w:val="14"/>
                <w:szCs w:val="14"/>
              </w:rPr>
            </w:pPr>
            <w:r w:rsidRPr="00C01518">
              <w:rPr>
                <w:rFonts w:ascii="Arial" w:eastAsia="Times New Roman" w:hAnsi="Arial" w:cs="Arial"/>
                <w:sz w:val="14"/>
                <w:szCs w:val="14"/>
              </w:rPr>
              <w:t>323.926,85</w:t>
            </w:r>
          </w:p>
        </w:tc>
        <w:tc>
          <w:tcPr>
            <w:tcW w:w="0" w:type="auto"/>
            <w:tcBorders>
              <w:top w:val="outset" w:sz="6" w:space="0" w:color="auto"/>
              <w:left w:val="outset" w:sz="6" w:space="0" w:color="auto"/>
              <w:bottom w:val="outset" w:sz="6" w:space="0" w:color="auto"/>
              <w:right w:val="outset" w:sz="6" w:space="0" w:color="auto"/>
            </w:tcBorders>
            <w:vAlign w:val="bottom"/>
            <w:hideMark/>
          </w:tcPr>
          <w:p w14:paraId="433A2BA6" w14:textId="6D5C6E5A" w:rsidR="00C01518" w:rsidRPr="00C01518" w:rsidRDefault="00C01518" w:rsidP="00303CC6">
            <w:pPr>
              <w:jc w:val="right"/>
              <w:rPr>
                <w:rFonts w:ascii="Arial" w:eastAsia="Times New Roman" w:hAnsi="Arial" w:cs="Arial"/>
                <w:sz w:val="14"/>
                <w:szCs w:val="14"/>
              </w:rPr>
            </w:pPr>
            <w:r w:rsidRPr="00C01518">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bottom"/>
            <w:hideMark/>
          </w:tcPr>
          <w:p w14:paraId="29A952C7" w14:textId="55E9B15B" w:rsidR="00C01518" w:rsidRPr="00C01518" w:rsidRDefault="00C01518" w:rsidP="00303CC6">
            <w:pPr>
              <w:jc w:val="right"/>
              <w:rPr>
                <w:rFonts w:ascii="Arial" w:eastAsia="Times New Roman" w:hAnsi="Arial" w:cs="Arial"/>
                <w:sz w:val="14"/>
                <w:szCs w:val="14"/>
              </w:rPr>
            </w:pPr>
            <w:r w:rsidRPr="00C01518">
              <w:rPr>
                <w:rFonts w:ascii="Arial" w:eastAsia="Times New Roman" w:hAnsi="Arial" w:cs="Arial"/>
                <w:sz w:val="14"/>
                <w:szCs w:val="14"/>
              </w:rPr>
              <w:t>323.926,85</w:t>
            </w:r>
          </w:p>
        </w:tc>
        <w:tc>
          <w:tcPr>
            <w:tcW w:w="0" w:type="auto"/>
            <w:tcBorders>
              <w:top w:val="outset" w:sz="6" w:space="0" w:color="auto"/>
              <w:left w:val="outset" w:sz="6" w:space="0" w:color="auto"/>
              <w:bottom w:val="outset" w:sz="6" w:space="0" w:color="auto"/>
              <w:right w:val="outset" w:sz="6" w:space="0" w:color="auto"/>
            </w:tcBorders>
            <w:vAlign w:val="bottom"/>
            <w:hideMark/>
          </w:tcPr>
          <w:p w14:paraId="5FD95D1B" w14:textId="77777777" w:rsidR="00C01518" w:rsidRPr="00C01518" w:rsidRDefault="00C01518" w:rsidP="00303CC6">
            <w:pPr>
              <w:jc w:val="right"/>
              <w:rPr>
                <w:rFonts w:eastAsia="Times New Roman"/>
                <w:sz w:val="14"/>
                <w:szCs w:val="14"/>
              </w:rPr>
            </w:pPr>
            <w:r w:rsidRPr="00C01518">
              <w:rPr>
                <w:rFonts w:ascii="Arial" w:eastAsia="Times New Roman" w:hAnsi="Arial" w:cs="Arial"/>
                <w:sz w:val="14"/>
                <w:szCs w:val="14"/>
              </w:rPr>
              <w:t>Custo Amortizado</w:t>
            </w:r>
          </w:p>
        </w:tc>
      </w:tr>
      <w:tr w:rsidR="00C01518" w:rsidRPr="00C01518" w14:paraId="1818EF56" w14:textId="77777777" w:rsidTr="00C01518">
        <w:trPr>
          <w:trHeight w:val="150"/>
        </w:trPr>
        <w:tc>
          <w:tcPr>
            <w:tcW w:w="0" w:type="auto"/>
            <w:vMerge/>
            <w:tcBorders>
              <w:left w:val="outset" w:sz="6" w:space="0" w:color="auto"/>
              <w:right w:val="outset" w:sz="6" w:space="0" w:color="auto"/>
            </w:tcBorders>
            <w:vAlign w:val="center"/>
            <w:hideMark/>
          </w:tcPr>
          <w:p w14:paraId="11494017" w14:textId="5E302143" w:rsidR="00C01518" w:rsidRPr="00C01518" w:rsidRDefault="00C01518" w:rsidP="00303CC6">
            <w:pPr>
              <w:jc w:val="center"/>
              <w:rPr>
                <w:rFonts w:eastAsia="Times New Roman"/>
                <w:sz w:val="14"/>
                <w:szCs w:val="14"/>
              </w:rPr>
            </w:pPr>
          </w:p>
        </w:tc>
        <w:tc>
          <w:tcPr>
            <w:tcW w:w="0" w:type="auto"/>
            <w:tcBorders>
              <w:top w:val="outset" w:sz="6" w:space="0" w:color="auto"/>
              <w:left w:val="outset" w:sz="6" w:space="0" w:color="auto"/>
              <w:bottom w:val="outset" w:sz="6" w:space="0" w:color="auto"/>
              <w:right w:val="outset" w:sz="6" w:space="0" w:color="auto"/>
            </w:tcBorders>
            <w:vAlign w:val="bottom"/>
            <w:hideMark/>
          </w:tcPr>
          <w:p w14:paraId="422C768A" w14:textId="77777777" w:rsidR="00C01518" w:rsidRPr="00C01518" w:rsidRDefault="00C01518" w:rsidP="00303CC6">
            <w:pPr>
              <w:jc w:val="right"/>
              <w:rPr>
                <w:rFonts w:eastAsia="Times New Roman"/>
                <w:sz w:val="14"/>
                <w:szCs w:val="14"/>
              </w:rPr>
            </w:pPr>
            <w:r w:rsidRPr="00C01518">
              <w:rPr>
                <w:rFonts w:ascii="Arial" w:eastAsia="Times New Roman" w:hAnsi="Arial" w:cs="Arial"/>
                <w:sz w:val="14"/>
                <w:szCs w:val="14"/>
              </w:rPr>
              <w:t>Provisão para perdas esperadas</w:t>
            </w:r>
          </w:p>
        </w:tc>
        <w:tc>
          <w:tcPr>
            <w:tcW w:w="0" w:type="auto"/>
            <w:tcBorders>
              <w:top w:val="outset" w:sz="6" w:space="0" w:color="auto"/>
              <w:left w:val="outset" w:sz="6" w:space="0" w:color="auto"/>
              <w:bottom w:val="outset" w:sz="6" w:space="0" w:color="auto"/>
              <w:right w:val="outset" w:sz="6" w:space="0" w:color="auto"/>
            </w:tcBorders>
            <w:vAlign w:val="bottom"/>
            <w:hideMark/>
          </w:tcPr>
          <w:p w14:paraId="3ECC7136" w14:textId="359B285F" w:rsidR="00C01518" w:rsidRPr="00C01518" w:rsidRDefault="00C01518" w:rsidP="00303CC6">
            <w:pPr>
              <w:jc w:val="right"/>
              <w:rPr>
                <w:rFonts w:ascii="Arial" w:eastAsia="Times New Roman" w:hAnsi="Arial" w:cs="Arial"/>
                <w:sz w:val="14"/>
                <w:szCs w:val="14"/>
              </w:rPr>
            </w:pPr>
            <w:r w:rsidRPr="00C01518">
              <w:rPr>
                <w:rFonts w:ascii="Arial" w:eastAsia="Times New Roman" w:hAnsi="Arial" w:cs="Arial"/>
                <w:sz w:val="14"/>
                <w:szCs w:val="14"/>
              </w:rPr>
              <w:t>(226.749,92)</w:t>
            </w:r>
          </w:p>
        </w:tc>
        <w:tc>
          <w:tcPr>
            <w:tcW w:w="0" w:type="auto"/>
            <w:tcBorders>
              <w:top w:val="outset" w:sz="6" w:space="0" w:color="auto"/>
              <w:left w:val="outset" w:sz="6" w:space="0" w:color="auto"/>
              <w:bottom w:val="outset" w:sz="6" w:space="0" w:color="auto"/>
              <w:right w:val="outset" w:sz="6" w:space="0" w:color="auto"/>
            </w:tcBorders>
            <w:vAlign w:val="bottom"/>
            <w:hideMark/>
          </w:tcPr>
          <w:p w14:paraId="441FFFBB" w14:textId="7419D9AB" w:rsidR="00C01518" w:rsidRPr="00C01518" w:rsidRDefault="00C01518" w:rsidP="00303CC6">
            <w:pPr>
              <w:jc w:val="right"/>
              <w:rPr>
                <w:rFonts w:ascii="Arial" w:eastAsia="Times New Roman" w:hAnsi="Arial" w:cs="Arial"/>
                <w:sz w:val="14"/>
                <w:szCs w:val="14"/>
              </w:rPr>
            </w:pPr>
            <w:r w:rsidRPr="00C01518">
              <w:rPr>
                <w:rFonts w:ascii="Arial" w:eastAsia="Times New Roman" w:hAnsi="Arial" w:cs="Arial"/>
                <w:sz w:val="14"/>
                <w:szCs w:val="14"/>
              </w:rPr>
              <w:t>(15.705,61)</w:t>
            </w:r>
          </w:p>
        </w:tc>
        <w:tc>
          <w:tcPr>
            <w:tcW w:w="0" w:type="auto"/>
            <w:tcBorders>
              <w:top w:val="outset" w:sz="6" w:space="0" w:color="auto"/>
              <w:left w:val="outset" w:sz="6" w:space="0" w:color="auto"/>
              <w:bottom w:val="outset" w:sz="6" w:space="0" w:color="auto"/>
              <w:right w:val="outset" w:sz="6" w:space="0" w:color="auto"/>
            </w:tcBorders>
            <w:vAlign w:val="bottom"/>
            <w:hideMark/>
          </w:tcPr>
          <w:p w14:paraId="1AA27DFB" w14:textId="54E3CB0B" w:rsidR="00C01518" w:rsidRPr="00C01518" w:rsidRDefault="00C01518" w:rsidP="00303CC6">
            <w:pPr>
              <w:jc w:val="right"/>
              <w:rPr>
                <w:rFonts w:ascii="Arial" w:eastAsia="Times New Roman" w:hAnsi="Arial" w:cs="Arial"/>
                <w:sz w:val="14"/>
                <w:szCs w:val="14"/>
              </w:rPr>
            </w:pPr>
            <w:r w:rsidRPr="00C01518">
              <w:rPr>
                <w:rFonts w:ascii="Arial" w:eastAsia="Times New Roman" w:hAnsi="Arial" w:cs="Arial"/>
                <w:sz w:val="14"/>
                <w:szCs w:val="14"/>
              </w:rPr>
              <w:t>(242.455,53)</w:t>
            </w:r>
          </w:p>
        </w:tc>
        <w:tc>
          <w:tcPr>
            <w:tcW w:w="0" w:type="auto"/>
            <w:tcBorders>
              <w:top w:val="outset" w:sz="6" w:space="0" w:color="auto"/>
              <w:left w:val="outset" w:sz="6" w:space="0" w:color="auto"/>
              <w:bottom w:val="outset" w:sz="6" w:space="0" w:color="auto"/>
              <w:right w:val="outset" w:sz="6" w:space="0" w:color="auto"/>
            </w:tcBorders>
            <w:vAlign w:val="bottom"/>
            <w:hideMark/>
          </w:tcPr>
          <w:p w14:paraId="66C7BFE0" w14:textId="77777777" w:rsidR="00C01518" w:rsidRPr="00C01518" w:rsidRDefault="00C01518" w:rsidP="00303CC6">
            <w:pPr>
              <w:jc w:val="right"/>
              <w:rPr>
                <w:rFonts w:eastAsia="Times New Roman"/>
                <w:sz w:val="14"/>
                <w:szCs w:val="14"/>
              </w:rPr>
            </w:pPr>
            <w:r w:rsidRPr="00C01518">
              <w:rPr>
                <w:rFonts w:ascii="Arial" w:eastAsia="Times New Roman" w:hAnsi="Arial" w:cs="Arial"/>
                <w:sz w:val="14"/>
                <w:szCs w:val="14"/>
              </w:rPr>
              <w:t>Custo Amortizado</w:t>
            </w:r>
          </w:p>
        </w:tc>
      </w:tr>
      <w:tr w:rsidR="00C01518" w:rsidRPr="00C01518" w14:paraId="7B423BB9" w14:textId="77777777" w:rsidTr="00614524">
        <w:trPr>
          <w:trHeight w:val="150"/>
        </w:trPr>
        <w:tc>
          <w:tcPr>
            <w:tcW w:w="0" w:type="auto"/>
            <w:vMerge/>
            <w:tcBorders>
              <w:left w:val="outset" w:sz="6" w:space="0" w:color="auto"/>
              <w:right w:val="outset" w:sz="6" w:space="0" w:color="auto"/>
            </w:tcBorders>
            <w:vAlign w:val="center"/>
            <w:hideMark/>
          </w:tcPr>
          <w:p w14:paraId="41B7A225" w14:textId="7845C4D5" w:rsidR="00C01518" w:rsidRPr="00C01518" w:rsidRDefault="00C01518" w:rsidP="00303CC6">
            <w:pPr>
              <w:jc w:val="center"/>
              <w:rPr>
                <w:rFonts w:eastAsia="Times New Roman"/>
                <w:sz w:val="14"/>
                <w:szCs w:val="14"/>
              </w:rPr>
            </w:pPr>
          </w:p>
        </w:tc>
        <w:tc>
          <w:tcPr>
            <w:tcW w:w="0" w:type="auto"/>
            <w:tcBorders>
              <w:top w:val="outset" w:sz="6" w:space="0" w:color="auto"/>
              <w:left w:val="outset" w:sz="6" w:space="0" w:color="auto"/>
              <w:bottom w:val="outset" w:sz="6" w:space="0" w:color="auto"/>
              <w:right w:val="outset" w:sz="6" w:space="0" w:color="auto"/>
            </w:tcBorders>
            <w:vAlign w:val="bottom"/>
            <w:hideMark/>
          </w:tcPr>
          <w:p w14:paraId="3CD44307" w14:textId="77777777" w:rsidR="00C01518" w:rsidRPr="00C01518" w:rsidRDefault="00C01518" w:rsidP="00303CC6">
            <w:pPr>
              <w:jc w:val="right"/>
              <w:rPr>
                <w:rFonts w:eastAsia="Times New Roman"/>
                <w:sz w:val="14"/>
                <w:szCs w:val="14"/>
              </w:rPr>
            </w:pPr>
            <w:r w:rsidRPr="00C01518">
              <w:rPr>
                <w:rFonts w:ascii="Arial" w:eastAsia="Times New Roman" w:hAnsi="Arial" w:cs="Arial"/>
                <w:sz w:val="14"/>
                <w:szCs w:val="14"/>
              </w:rPr>
              <w:t>CPRF</w:t>
            </w:r>
          </w:p>
        </w:tc>
        <w:tc>
          <w:tcPr>
            <w:tcW w:w="0" w:type="auto"/>
            <w:tcBorders>
              <w:top w:val="outset" w:sz="6" w:space="0" w:color="auto"/>
              <w:left w:val="outset" w:sz="6" w:space="0" w:color="auto"/>
              <w:bottom w:val="outset" w:sz="6" w:space="0" w:color="auto"/>
              <w:right w:val="outset" w:sz="6" w:space="0" w:color="auto"/>
            </w:tcBorders>
            <w:vAlign w:val="bottom"/>
            <w:hideMark/>
          </w:tcPr>
          <w:p w14:paraId="361C385D" w14:textId="508BA9DA" w:rsidR="00C01518" w:rsidRPr="00C01518" w:rsidRDefault="00C01518" w:rsidP="00303CC6">
            <w:pPr>
              <w:jc w:val="right"/>
              <w:rPr>
                <w:rFonts w:ascii="Arial" w:eastAsia="Times New Roman" w:hAnsi="Arial" w:cs="Arial"/>
                <w:sz w:val="14"/>
                <w:szCs w:val="14"/>
              </w:rPr>
            </w:pPr>
            <w:r w:rsidRPr="00C01518">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bottom"/>
            <w:hideMark/>
          </w:tcPr>
          <w:p w14:paraId="73AB12EF" w14:textId="3A5DBE77" w:rsidR="00C01518" w:rsidRPr="00C01518" w:rsidRDefault="00C01518" w:rsidP="00303CC6">
            <w:pPr>
              <w:jc w:val="right"/>
              <w:rPr>
                <w:rFonts w:ascii="Arial" w:eastAsia="Times New Roman" w:hAnsi="Arial" w:cs="Arial"/>
                <w:sz w:val="14"/>
                <w:szCs w:val="14"/>
              </w:rPr>
            </w:pPr>
            <w:r w:rsidRPr="00C01518">
              <w:rPr>
                <w:rFonts w:ascii="Arial" w:eastAsia="Times New Roman" w:hAnsi="Arial" w:cs="Arial"/>
                <w:sz w:val="14"/>
                <w:szCs w:val="14"/>
              </w:rPr>
              <w:t>64.158.922,32</w:t>
            </w:r>
          </w:p>
        </w:tc>
        <w:tc>
          <w:tcPr>
            <w:tcW w:w="0" w:type="auto"/>
            <w:tcBorders>
              <w:top w:val="outset" w:sz="6" w:space="0" w:color="auto"/>
              <w:left w:val="outset" w:sz="6" w:space="0" w:color="auto"/>
              <w:bottom w:val="outset" w:sz="6" w:space="0" w:color="auto"/>
              <w:right w:val="outset" w:sz="6" w:space="0" w:color="auto"/>
            </w:tcBorders>
            <w:vAlign w:val="bottom"/>
            <w:hideMark/>
          </w:tcPr>
          <w:p w14:paraId="05026226" w14:textId="4E5CE1B8" w:rsidR="00C01518" w:rsidRPr="00C01518" w:rsidRDefault="00C01518" w:rsidP="00303CC6">
            <w:pPr>
              <w:jc w:val="right"/>
              <w:rPr>
                <w:rFonts w:ascii="Arial" w:eastAsia="Times New Roman" w:hAnsi="Arial" w:cs="Arial"/>
                <w:sz w:val="14"/>
                <w:szCs w:val="14"/>
              </w:rPr>
            </w:pPr>
            <w:r w:rsidRPr="00C01518">
              <w:rPr>
                <w:rFonts w:ascii="Arial" w:eastAsia="Times New Roman" w:hAnsi="Arial" w:cs="Arial"/>
                <w:sz w:val="14"/>
                <w:szCs w:val="14"/>
              </w:rPr>
              <w:t>64.158.922,32</w:t>
            </w:r>
          </w:p>
        </w:tc>
        <w:tc>
          <w:tcPr>
            <w:tcW w:w="0" w:type="auto"/>
            <w:tcBorders>
              <w:top w:val="outset" w:sz="6" w:space="0" w:color="auto"/>
              <w:left w:val="outset" w:sz="6" w:space="0" w:color="auto"/>
              <w:bottom w:val="outset" w:sz="6" w:space="0" w:color="auto"/>
              <w:right w:val="outset" w:sz="6" w:space="0" w:color="auto"/>
            </w:tcBorders>
            <w:vAlign w:val="bottom"/>
            <w:hideMark/>
          </w:tcPr>
          <w:p w14:paraId="477C0114" w14:textId="77777777" w:rsidR="00C01518" w:rsidRPr="00C01518" w:rsidRDefault="00C01518" w:rsidP="00303CC6">
            <w:pPr>
              <w:jc w:val="right"/>
              <w:rPr>
                <w:rFonts w:eastAsia="Times New Roman"/>
                <w:sz w:val="14"/>
                <w:szCs w:val="14"/>
              </w:rPr>
            </w:pPr>
            <w:r w:rsidRPr="00C01518">
              <w:rPr>
                <w:rFonts w:ascii="Arial" w:eastAsia="Times New Roman" w:hAnsi="Arial" w:cs="Arial"/>
                <w:sz w:val="14"/>
                <w:szCs w:val="14"/>
              </w:rPr>
              <w:t>Custo Amortizado</w:t>
            </w:r>
          </w:p>
        </w:tc>
      </w:tr>
      <w:tr w:rsidR="00C01518" w:rsidRPr="00C01518" w14:paraId="0B8EDED7" w14:textId="77777777" w:rsidTr="00614524">
        <w:trPr>
          <w:trHeight w:val="150"/>
        </w:trPr>
        <w:tc>
          <w:tcPr>
            <w:tcW w:w="0" w:type="auto"/>
            <w:vMerge/>
            <w:tcBorders>
              <w:left w:val="outset" w:sz="6" w:space="0" w:color="auto"/>
              <w:bottom w:val="outset" w:sz="6" w:space="0" w:color="auto"/>
              <w:right w:val="outset" w:sz="6" w:space="0" w:color="auto"/>
            </w:tcBorders>
            <w:vAlign w:val="center"/>
          </w:tcPr>
          <w:p w14:paraId="36FA11C8" w14:textId="0FAA7A8D" w:rsidR="00C01518" w:rsidRPr="00C01518" w:rsidRDefault="00C01518" w:rsidP="00303CC6">
            <w:pPr>
              <w:jc w:val="center"/>
              <w:rPr>
                <w:rFonts w:eastAsia="Times New Roman"/>
                <w:sz w:val="14"/>
                <w:szCs w:val="14"/>
              </w:rPr>
            </w:pPr>
          </w:p>
        </w:tc>
        <w:tc>
          <w:tcPr>
            <w:tcW w:w="0" w:type="auto"/>
            <w:tcBorders>
              <w:top w:val="outset" w:sz="6" w:space="0" w:color="auto"/>
              <w:left w:val="outset" w:sz="6" w:space="0" w:color="auto"/>
              <w:bottom w:val="outset" w:sz="6" w:space="0" w:color="auto"/>
              <w:right w:val="outset" w:sz="6" w:space="0" w:color="auto"/>
            </w:tcBorders>
            <w:vAlign w:val="bottom"/>
            <w:hideMark/>
          </w:tcPr>
          <w:p w14:paraId="3288FCF3" w14:textId="77777777" w:rsidR="00C01518" w:rsidRPr="00C01518" w:rsidRDefault="00C01518" w:rsidP="00303CC6">
            <w:pPr>
              <w:jc w:val="right"/>
              <w:rPr>
                <w:rFonts w:eastAsia="Times New Roman"/>
                <w:sz w:val="14"/>
                <w:szCs w:val="14"/>
              </w:rPr>
            </w:pPr>
            <w:r w:rsidRPr="00C01518">
              <w:rPr>
                <w:rFonts w:ascii="Arial" w:eastAsia="Times New Roman" w:hAnsi="Arial" w:cs="Arial"/>
                <w:sz w:val="14"/>
                <w:szCs w:val="14"/>
              </w:rPr>
              <w:t>Provisão para perdas esperadas</w:t>
            </w:r>
          </w:p>
        </w:tc>
        <w:tc>
          <w:tcPr>
            <w:tcW w:w="0" w:type="auto"/>
            <w:tcBorders>
              <w:top w:val="outset" w:sz="6" w:space="0" w:color="auto"/>
              <w:left w:val="outset" w:sz="6" w:space="0" w:color="auto"/>
              <w:bottom w:val="outset" w:sz="6" w:space="0" w:color="auto"/>
              <w:right w:val="outset" w:sz="6" w:space="0" w:color="auto"/>
            </w:tcBorders>
            <w:vAlign w:val="bottom"/>
            <w:hideMark/>
          </w:tcPr>
          <w:p w14:paraId="4C5CC135" w14:textId="2C355348" w:rsidR="00C01518" w:rsidRPr="00C01518" w:rsidRDefault="00C01518" w:rsidP="00303CC6">
            <w:pPr>
              <w:jc w:val="right"/>
              <w:rPr>
                <w:rFonts w:ascii="Arial" w:eastAsia="Times New Roman" w:hAnsi="Arial" w:cs="Arial"/>
                <w:sz w:val="14"/>
                <w:szCs w:val="14"/>
              </w:rPr>
            </w:pPr>
            <w:r w:rsidRPr="00C01518">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bottom"/>
            <w:hideMark/>
          </w:tcPr>
          <w:p w14:paraId="1D6CDA4F" w14:textId="71694A6C" w:rsidR="00C01518" w:rsidRPr="00C01518" w:rsidRDefault="00C01518" w:rsidP="00303CC6">
            <w:pPr>
              <w:jc w:val="right"/>
              <w:rPr>
                <w:rFonts w:ascii="Arial" w:eastAsia="Times New Roman" w:hAnsi="Arial" w:cs="Arial"/>
                <w:sz w:val="14"/>
                <w:szCs w:val="14"/>
              </w:rPr>
            </w:pPr>
            <w:r w:rsidRPr="00C01518">
              <w:rPr>
                <w:rFonts w:ascii="Arial" w:eastAsia="Times New Roman" w:hAnsi="Arial" w:cs="Arial"/>
                <w:sz w:val="14"/>
                <w:szCs w:val="14"/>
              </w:rPr>
              <w:t>(192.844,14)</w:t>
            </w:r>
          </w:p>
        </w:tc>
        <w:tc>
          <w:tcPr>
            <w:tcW w:w="0" w:type="auto"/>
            <w:tcBorders>
              <w:top w:val="outset" w:sz="6" w:space="0" w:color="auto"/>
              <w:left w:val="outset" w:sz="6" w:space="0" w:color="auto"/>
              <w:bottom w:val="outset" w:sz="6" w:space="0" w:color="auto"/>
              <w:right w:val="outset" w:sz="6" w:space="0" w:color="auto"/>
            </w:tcBorders>
            <w:vAlign w:val="bottom"/>
            <w:hideMark/>
          </w:tcPr>
          <w:p w14:paraId="73FFCA2F" w14:textId="47E1DD4B" w:rsidR="00C01518" w:rsidRPr="00C01518" w:rsidRDefault="00C01518" w:rsidP="00303CC6">
            <w:pPr>
              <w:jc w:val="right"/>
              <w:rPr>
                <w:rFonts w:ascii="Arial" w:eastAsia="Times New Roman" w:hAnsi="Arial" w:cs="Arial"/>
                <w:sz w:val="14"/>
                <w:szCs w:val="14"/>
              </w:rPr>
            </w:pPr>
            <w:r w:rsidRPr="00C01518">
              <w:rPr>
                <w:rFonts w:ascii="Arial" w:eastAsia="Times New Roman" w:hAnsi="Arial" w:cs="Arial"/>
                <w:sz w:val="14"/>
                <w:szCs w:val="14"/>
              </w:rPr>
              <w:t>(192.844,14)</w:t>
            </w:r>
          </w:p>
        </w:tc>
        <w:tc>
          <w:tcPr>
            <w:tcW w:w="0" w:type="auto"/>
            <w:tcBorders>
              <w:top w:val="outset" w:sz="6" w:space="0" w:color="auto"/>
              <w:left w:val="outset" w:sz="6" w:space="0" w:color="auto"/>
              <w:bottom w:val="outset" w:sz="6" w:space="0" w:color="auto"/>
              <w:right w:val="outset" w:sz="6" w:space="0" w:color="auto"/>
            </w:tcBorders>
            <w:vAlign w:val="bottom"/>
            <w:hideMark/>
          </w:tcPr>
          <w:p w14:paraId="36FC63D6" w14:textId="77777777" w:rsidR="00C01518" w:rsidRPr="00C01518" w:rsidRDefault="00C01518" w:rsidP="00303CC6">
            <w:pPr>
              <w:jc w:val="right"/>
              <w:rPr>
                <w:rFonts w:eastAsia="Times New Roman"/>
                <w:sz w:val="14"/>
                <w:szCs w:val="14"/>
              </w:rPr>
            </w:pPr>
            <w:r w:rsidRPr="00C01518">
              <w:rPr>
                <w:rFonts w:ascii="Arial" w:eastAsia="Times New Roman" w:hAnsi="Arial" w:cs="Arial"/>
                <w:sz w:val="14"/>
                <w:szCs w:val="14"/>
              </w:rPr>
              <w:t>Custo Amortizado</w:t>
            </w:r>
          </w:p>
        </w:tc>
      </w:tr>
      <w:tr w:rsidR="00303CC6" w:rsidRPr="00C01518" w14:paraId="578926B9" w14:textId="77777777" w:rsidTr="00C01518">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3078645" w14:textId="77777777" w:rsidR="00303CC6" w:rsidRPr="00C01518" w:rsidRDefault="00303CC6" w:rsidP="00303CC6">
            <w:pPr>
              <w:jc w:val="center"/>
              <w:rPr>
                <w:rFonts w:eastAsia="Times New Roman"/>
                <w:sz w:val="14"/>
                <w:szCs w:val="14"/>
              </w:rPr>
            </w:pPr>
            <w:r w:rsidRPr="00C01518">
              <w:rPr>
                <w:rFonts w:ascii="Arial" w:eastAsia="Times New Roman" w:hAnsi="Arial" w:cs="Arial"/>
                <w:b/>
                <w:bCs/>
                <w:sz w:val="14"/>
                <w:szCs w:val="14"/>
              </w:rPr>
              <w:t>Outros Ativos Financeiros</w:t>
            </w:r>
          </w:p>
        </w:tc>
        <w:tc>
          <w:tcPr>
            <w:tcW w:w="0" w:type="auto"/>
            <w:tcBorders>
              <w:top w:val="outset" w:sz="6" w:space="0" w:color="auto"/>
              <w:left w:val="outset" w:sz="6" w:space="0" w:color="auto"/>
              <w:bottom w:val="outset" w:sz="6" w:space="0" w:color="auto"/>
              <w:right w:val="outset" w:sz="6" w:space="0" w:color="auto"/>
            </w:tcBorders>
            <w:vAlign w:val="bottom"/>
            <w:hideMark/>
          </w:tcPr>
          <w:p w14:paraId="52B6C654" w14:textId="77777777" w:rsidR="00303CC6" w:rsidRPr="00C01518" w:rsidRDefault="00303CC6" w:rsidP="00303CC6">
            <w:pPr>
              <w:jc w:val="right"/>
              <w:rPr>
                <w:rFonts w:eastAsia="Times New Roman"/>
                <w:sz w:val="14"/>
                <w:szCs w:val="14"/>
              </w:rPr>
            </w:pPr>
            <w:r w:rsidRPr="00C01518">
              <w:rPr>
                <w:rFonts w:ascii="Arial" w:eastAsia="Times New Roman" w:hAnsi="Arial" w:cs="Arial"/>
                <w:sz w:val="14"/>
                <w:szCs w:val="14"/>
              </w:rPr>
              <w:t>Outros Ativos Financeiros</w:t>
            </w:r>
          </w:p>
        </w:tc>
        <w:tc>
          <w:tcPr>
            <w:tcW w:w="0" w:type="auto"/>
            <w:tcBorders>
              <w:top w:val="outset" w:sz="6" w:space="0" w:color="auto"/>
              <w:left w:val="outset" w:sz="6" w:space="0" w:color="auto"/>
              <w:bottom w:val="outset" w:sz="6" w:space="0" w:color="auto"/>
              <w:right w:val="outset" w:sz="6" w:space="0" w:color="auto"/>
            </w:tcBorders>
            <w:vAlign w:val="bottom"/>
            <w:hideMark/>
          </w:tcPr>
          <w:p w14:paraId="48E36660" w14:textId="735D8910" w:rsidR="00303CC6" w:rsidRPr="00C01518" w:rsidRDefault="00303CC6" w:rsidP="00303CC6">
            <w:pPr>
              <w:jc w:val="right"/>
              <w:rPr>
                <w:rFonts w:ascii="Arial" w:eastAsia="Times New Roman" w:hAnsi="Arial" w:cs="Arial"/>
                <w:sz w:val="14"/>
                <w:szCs w:val="14"/>
              </w:rPr>
            </w:pPr>
            <w:r w:rsidRPr="00C01518">
              <w:rPr>
                <w:rFonts w:ascii="Arial" w:eastAsia="Times New Roman" w:hAnsi="Arial" w:cs="Arial"/>
                <w:sz w:val="14"/>
                <w:szCs w:val="14"/>
              </w:rPr>
              <w:t>5.382.963,04</w:t>
            </w:r>
          </w:p>
        </w:tc>
        <w:tc>
          <w:tcPr>
            <w:tcW w:w="0" w:type="auto"/>
            <w:tcBorders>
              <w:top w:val="outset" w:sz="6" w:space="0" w:color="auto"/>
              <w:left w:val="outset" w:sz="6" w:space="0" w:color="auto"/>
              <w:bottom w:val="outset" w:sz="6" w:space="0" w:color="auto"/>
              <w:right w:val="outset" w:sz="6" w:space="0" w:color="auto"/>
            </w:tcBorders>
            <w:vAlign w:val="bottom"/>
            <w:hideMark/>
          </w:tcPr>
          <w:p w14:paraId="56DB43E5" w14:textId="1AA84FDF" w:rsidR="00303CC6" w:rsidRPr="00C01518" w:rsidRDefault="00303CC6" w:rsidP="00303CC6">
            <w:pPr>
              <w:jc w:val="right"/>
              <w:rPr>
                <w:rFonts w:ascii="Arial" w:eastAsia="Times New Roman" w:hAnsi="Arial" w:cs="Arial"/>
                <w:sz w:val="14"/>
                <w:szCs w:val="14"/>
              </w:rPr>
            </w:pPr>
            <w:r w:rsidRPr="00C01518">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bottom"/>
            <w:hideMark/>
          </w:tcPr>
          <w:p w14:paraId="34C88BEC" w14:textId="6C17CB7F" w:rsidR="00303CC6" w:rsidRPr="00C01518" w:rsidRDefault="00303CC6" w:rsidP="00303CC6">
            <w:pPr>
              <w:jc w:val="right"/>
              <w:rPr>
                <w:rFonts w:ascii="Arial" w:eastAsia="Times New Roman" w:hAnsi="Arial" w:cs="Arial"/>
                <w:sz w:val="14"/>
                <w:szCs w:val="14"/>
              </w:rPr>
            </w:pPr>
            <w:r w:rsidRPr="00C01518">
              <w:rPr>
                <w:rFonts w:ascii="Arial" w:eastAsia="Times New Roman" w:hAnsi="Arial" w:cs="Arial"/>
                <w:sz w:val="14"/>
                <w:szCs w:val="14"/>
              </w:rPr>
              <w:t>5.382.963,04</w:t>
            </w:r>
          </w:p>
        </w:tc>
        <w:tc>
          <w:tcPr>
            <w:tcW w:w="0" w:type="auto"/>
            <w:tcBorders>
              <w:top w:val="outset" w:sz="6" w:space="0" w:color="auto"/>
              <w:left w:val="outset" w:sz="6" w:space="0" w:color="auto"/>
              <w:bottom w:val="outset" w:sz="6" w:space="0" w:color="auto"/>
              <w:right w:val="outset" w:sz="6" w:space="0" w:color="auto"/>
            </w:tcBorders>
            <w:vAlign w:val="bottom"/>
            <w:hideMark/>
          </w:tcPr>
          <w:p w14:paraId="0CACAD83" w14:textId="77777777" w:rsidR="00303CC6" w:rsidRPr="00C01518" w:rsidRDefault="00303CC6" w:rsidP="00303CC6">
            <w:pPr>
              <w:jc w:val="right"/>
              <w:rPr>
                <w:rFonts w:eastAsia="Times New Roman"/>
                <w:sz w:val="14"/>
                <w:szCs w:val="14"/>
              </w:rPr>
            </w:pPr>
            <w:r w:rsidRPr="00C01518">
              <w:rPr>
                <w:rFonts w:ascii="Arial" w:eastAsia="Times New Roman" w:hAnsi="Arial" w:cs="Arial"/>
                <w:sz w:val="14"/>
                <w:szCs w:val="14"/>
              </w:rPr>
              <w:t>Custo Amortizado</w:t>
            </w:r>
          </w:p>
        </w:tc>
      </w:tr>
      <w:tr w:rsidR="00303CC6" w:rsidRPr="00C01518" w14:paraId="62E80156" w14:textId="77777777" w:rsidTr="00C01518">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39F6086" w14:textId="77777777" w:rsidR="00303CC6" w:rsidRPr="00C01518" w:rsidRDefault="00303CC6" w:rsidP="00303CC6">
            <w:pPr>
              <w:jc w:val="center"/>
              <w:rPr>
                <w:rFonts w:eastAsia="Times New Roman"/>
                <w:sz w:val="14"/>
                <w:szCs w:val="14"/>
              </w:rPr>
            </w:pPr>
            <w:r w:rsidRPr="00C01518">
              <w:rPr>
                <w:rFonts w:ascii="Arial" w:eastAsia="Times New Roman" w:hAnsi="Arial" w:cs="Arial"/>
                <w:b/>
                <w:bCs/>
                <w:sz w:val="14"/>
                <w:szCs w:val="14"/>
              </w:rPr>
              <w:t>Total Ativos Financeiros</w:t>
            </w:r>
          </w:p>
        </w:tc>
        <w:tc>
          <w:tcPr>
            <w:tcW w:w="0" w:type="auto"/>
            <w:tcBorders>
              <w:top w:val="outset" w:sz="6" w:space="0" w:color="auto"/>
              <w:left w:val="outset" w:sz="6" w:space="0" w:color="auto"/>
              <w:bottom w:val="outset" w:sz="6" w:space="0" w:color="auto"/>
              <w:right w:val="outset" w:sz="6" w:space="0" w:color="auto"/>
            </w:tcBorders>
            <w:vAlign w:val="bottom"/>
            <w:hideMark/>
          </w:tcPr>
          <w:p w14:paraId="5446BBF0" w14:textId="77777777" w:rsidR="00303CC6" w:rsidRPr="00C01518" w:rsidRDefault="00303CC6" w:rsidP="00303CC6">
            <w:pPr>
              <w:jc w:val="right"/>
              <w:rPr>
                <w:rFonts w:eastAsia="Times New Roman"/>
                <w:sz w:val="14"/>
                <w:szCs w:val="14"/>
              </w:rPr>
            </w:pPr>
            <w:r w:rsidRPr="00C01518">
              <w:rPr>
                <w:rFonts w:ascii="Arial" w:eastAsia="Times New Roman" w:hAnsi="Arial" w:cs="Arial"/>
                <w:b/>
                <w:bCs/>
                <w:sz w:val="14"/>
                <w:szCs w:val="14"/>
              </w:rPr>
              <w:t> </w:t>
            </w:r>
          </w:p>
        </w:tc>
        <w:tc>
          <w:tcPr>
            <w:tcW w:w="0" w:type="auto"/>
            <w:tcBorders>
              <w:top w:val="outset" w:sz="6" w:space="0" w:color="auto"/>
              <w:left w:val="outset" w:sz="6" w:space="0" w:color="auto"/>
              <w:bottom w:val="outset" w:sz="6" w:space="0" w:color="auto"/>
              <w:right w:val="outset" w:sz="6" w:space="0" w:color="auto"/>
            </w:tcBorders>
            <w:vAlign w:val="bottom"/>
            <w:hideMark/>
          </w:tcPr>
          <w:p w14:paraId="38A4B610" w14:textId="1CDCF5D5" w:rsidR="00303CC6" w:rsidRPr="00C01518" w:rsidRDefault="00303CC6" w:rsidP="00303CC6">
            <w:pPr>
              <w:jc w:val="right"/>
              <w:rPr>
                <w:rFonts w:ascii="Arial" w:eastAsia="Times New Roman" w:hAnsi="Arial" w:cs="Arial"/>
                <w:b/>
                <w:bCs/>
                <w:sz w:val="14"/>
                <w:szCs w:val="14"/>
              </w:rPr>
            </w:pPr>
            <w:r w:rsidRPr="00C01518">
              <w:rPr>
                <w:rFonts w:ascii="Arial" w:eastAsia="Times New Roman" w:hAnsi="Arial" w:cs="Arial"/>
                <w:b/>
                <w:bCs/>
                <w:sz w:val="14"/>
                <w:szCs w:val="14"/>
              </w:rPr>
              <w:t>1.036.015.013,30</w:t>
            </w:r>
          </w:p>
        </w:tc>
        <w:tc>
          <w:tcPr>
            <w:tcW w:w="0" w:type="auto"/>
            <w:tcBorders>
              <w:top w:val="outset" w:sz="6" w:space="0" w:color="auto"/>
              <w:left w:val="outset" w:sz="6" w:space="0" w:color="auto"/>
              <w:bottom w:val="outset" w:sz="6" w:space="0" w:color="auto"/>
              <w:right w:val="outset" w:sz="6" w:space="0" w:color="auto"/>
            </w:tcBorders>
            <w:vAlign w:val="bottom"/>
            <w:hideMark/>
          </w:tcPr>
          <w:p w14:paraId="21E94F6B" w14:textId="2F4E4511" w:rsidR="00303CC6" w:rsidRPr="00C01518" w:rsidRDefault="00303CC6" w:rsidP="00303CC6">
            <w:pPr>
              <w:jc w:val="right"/>
              <w:rPr>
                <w:rFonts w:ascii="Arial" w:eastAsia="Times New Roman" w:hAnsi="Arial" w:cs="Arial"/>
                <w:b/>
                <w:bCs/>
                <w:sz w:val="14"/>
                <w:szCs w:val="14"/>
              </w:rPr>
            </w:pPr>
            <w:r w:rsidRPr="00C01518">
              <w:rPr>
                <w:rFonts w:ascii="Arial" w:eastAsia="Times New Roman" w:hAnsi="Arial" w:cs="Arial"/>
                <w:b/>
                <w:bCs/>
                <w:sz w:val="14"/>
                <w:szCs w:val="14"/>
              </w:rPr>
              <w:t>6.640.468,59</w:t>
            </w:r>
          </w:p>
        </w:tc>
        <w:tc>
          <w:tcPr>
            <w:tcW w:w="0" w:type="auto"/>
            <w:tcBorders>
              <w:top w:val="outset" w:sz="6" w:space="0" w:color="auto"/>
              <w:left w:val="outset" w:sz="6" w:space="0" w:color="auto"/>
              <w:bottom w:val="outset" w:sz="6" w:space="0" w:color="auto"/>
              <w:right w:val="outset" w:sz="6" w:space="0" w:color="auto"/>
            </w:tcBorders>
            <w:vAlign w:val="bottom"/>
            <w:hideMark/>
          </w:tcPr>
          <w:p w14:paraId="0E9879EA" w14:textId="214E44B4" w:rsidR="00303CC6" w:rsidRPr="00C01518" w:rsidRDefault="00303CC6" w:rsidP="00303CC6">
            <w:pPr>
              <w:jc w:val="right"/>
              <w:rPr>
                <w:rFonts w:ascii="Arial" w:eastAsia="Times New Roman" w:hAnsi="Arial" w:cs="Arial"/>
                <w:b/>
                <w:bCs/>
                <w:sz w:val="14"/>
                <w:szCs w:val="14"/>
              </w:rPr>
            </w:pPr>
            <w:r w:rsidRPr="00C01518">
              <w:rPr>
                <w:rFonts w:ascii="Arial" w:eastAsia="Times New Roman" w:hAnsi="Arial" w:cs="Arial"/>
                <w:b/>
                <w:bCs/>
                <w:sz w:val="14"/>
                <w:szCs w:val="14"/>
              </w:rPr>
              <w:t>1.042.655.481,89</w:t>
            </w:r>
          </w:p>
        </w:tc>
        <w:tc>
          <w:tcPr>
            <w:tcW w:w="0" w:type="auto"/>
            <w:tcBorders>
              <w:top w:val="outset" w:sz="6" w:space="0" w:color="auto"/>
              <w:left w:val="outset" w:sz="6" w:space="0" w:color="auto"/>
              <w:bottom w:val="outset" w:sz="6" w:space="0" w:color="auto"/>
              <w:right w:val="outset" w:sz="6" w:space="0" w:color="auto"/>
            </w:tcBorders>
            <w:vAlign w:val="bottom"/>
            <w:hideMark/>
          </w:tcPr>
          <w:p w14:paraId="0A89C8C6" w14:textId="77777777" w:rsidR="00303CC6" w:rsidRPr="00C01518" w:rsidRDefault="00303CC6" w:rsidP="00303CC6">
            <w:pPr>
              <w:jc w:val="right"/>
              <w:rPr>
                <w:rFonts w:eastAsia="Times New Roman"/>
                <w:sz w:val="14"/>
                <w:szCs w:val="14"/>
              </w:rPr>
            </w:pPr>
            <w:r w:rsidRPr="00C01518">
              <w:rPr>
                <w:rFonts w:ascii="Arial" w:eastAsia="Times New Roman" w:hAnsi="Arial" w:cs="Arial"/>
                <w:b/>
                <w:bCs/>
                <w:sz w:val="14"/>
                <w:szCs w:val="14"/>
              </w:rPr>
              <w:t> </w:t>
            </w:r>
          </w:p>
        </w:tc>
      </w:tr>
      <w:tr w:rsidR="00BA3275" w:rsidRPr="00C01518" w14:paraId="75CAA462" w14:textId="77777777">
        <w:trPr>
          <w:trHeight w:val="150"/>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7F7A32F2" w14:textId="77777777" w:rsidR="00BA3275" w:rsidRDefault="00000000">
            <w:pPr>
              <w:rPr>
                <w:rFonts w:ascii="Arial" w:eastAsia="Times New Roman" w:hAnsi="Arial" w:cs="Arial"/>
                <w:sz w:val="14"/>
                <w:szCs w:val="14"/>
              </w:rPr>
            </w:pPr>
            <w:r w:rsidRPr="00C01518">
              <w:rPr>
                <w:rFonts w:ascii="Arial" w:eastAsia="Times New Roman" w:hAnsi="Arial" w:cs="Arial"/>
                <w:sz w:val="14"/>
                <w:szCs w:val="14"/>
              </w:rPr>
              <w:t> </w:t>
            </w:r>
          </w:p>
          <w:p w14:paraId="6501C810" w14:textId="77777777" w:rsidR="00C01518" w:rsidRDefault="00C01518">
            <w:pPr>
              <w:rPr>
                <w:rFonts w:ascii="Arial" w:eastAsia="Times New Roman" w:hAnsi="Arial" w:cs="Arial"/>
                <w:sz w:val="14"/>
                <w:szCs w:val="14"/>
              </w:rPr>
            </w:pPr>
          </w:p>
          <w:p w14:paraId="0EC0ADAC" w14:textId="77777777" w:rsidR="00C01518" w:rsidRDefault="00C01518">
            <w:pPr>
              <w:rPr>
                <w:rFonts w:ascii="Arial" w:eastAsia="Times New Roman" w:hAnsi="Arial" w:cs="Arial"/>
                <w:sz w:val="14"/>
                <w:szCs w:val="14"/>
              </w:rPr>
            </w:pPr>
          </w:p>
          <w:p w14:paraId="79881CED" w14:textId="77777777" w:rsidR="00C01518" w:rsidRPr="00C01518" w:rsidRDefault="00C01518">
            <w:pPr>
              <w:rPr>
                <w:rFonts w:eastAsia="Times New Roman"/>
                <w:sz w:val="14"/>
                <w:szCs w:val="14"/>
              </w:rPr>
            </w:pPr>
          </w:p>
        </w:tc>
      </w:tr>
      <w:tr w:rsidR="00BA3275" w:rsidRPr="00C01518" w14:paraId="7A3416A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A114034" w14:textId="77777777" w:rsidR="00BA3275" w:rsidRPr="00C01518" w:rsidRDefault="00000000">
            <w:pPr>
              <w:jc w:val="center"/>
              <w:rPr>
                <w:rFonts w:eastAsia="Times New Roman"/>
                <w:sz w:val="14"/>
                <w:szCs w:val="14"/>
              </w:rPr>
            </w:pPr>
            <w:r w:rsidRPr="00C01518">
              <w:rPr>
                <w:rFonts w:ascii="Arial" w:eastAsia="Times New Roman" w:hAnsi="Arial" w:cs="Arial"/>
                <w:b/>
                <w:bCs/>
                <w:sz w:val="14"/>
                <w:szCs w:val="14"/>
              </w:rPr>
              <w:lastRenderedPageBreak/>
              <w:t>Nomenclatura em 31/12/2024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2D90DCB" w14:textId="77777777" w:rsidR="00BA3275" w:rsidRPr="00C01518" w:rsidRDefault="00000000">
            <w:pPr>
              <w:jc w:val="center"/>
              <w:rPr>
                <w:rFonts w:eastAsia="Times New Roman"/>
                <w:sz w:val="14"/>
                <w:szCs w:val="14"/>
              </w:rPr>
            </w:pPr>
            <w:r w:rsidRPr="00C01518">
              <w:rPr>
                <w:rFonts w:ascii="Arial" w:eastAsia="Times New Roman" w:hAnsi="Arial" w:cs="Arial"/>
                <w:b/>
                <w:bCs/>
                <w:sz w:val="14"/>
                <w:szCs w:val="14"/>
              </w:rPr>
              <w:t>Passivo Financeiro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5BF2E4CF" w14:textId="77777777" w:rsidR="00BA3275" w:rsidRPr="00C01518" w:rsidRDefault="00000000">
            <w:pPr>
              <w:jc w:val="center"/>
              <w:rPr>
                <w:rFonts w:eastAsia="Times New Roman"/>
                <w:sz w:val="14"/>
                <w:szCs w:val="14"/>
              </w:rPr>
            </w:pPr>
            <w:r w:rsidRPr="00C01518">
              <w:rPr>
                <w:rFonts w:ascii="Arial" w:eastAsia="Times New Roman" w:hAnsi="Arial" w:cs="Arial"/>
                <w:b/>
                <w:bCs/>
                <w:sz w:val="14"/>
                <w:szCs w:val="14"/>
              </w:rPr>
              <w:t>Saldo em 31/12/2024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040BEA8" w14:textId="77777777" w:rsidR="00BA3275" w:rsidRPr="00C01518" w:rsidRDefault="00000000">
            <w:pPr>
              <w:jc w:val="center"/>
              <w:rPr>
                <w:rFonts w:eastAsia="Times New Roman"/>
                <w:sz w:val="14"/>
                <w:szCs w:val="14"/>
              </w:rPr>
            </w:pPr>
            <w:r w:rsidRPr="00C01518">
              <w:rPr>
                <w:rFonts w:ascii="Arial" w:eastAsia="Times New Roman" w:hAnsi="Arial" w:cs="Arial"/>
                <w:b/>
                <w:bCs/>
                <w:sz w:val="14"/>
                <w:szCs w:val="14"/>
              </w:rPr>
              <w:t>Remensurações/ Reclassificações (1)</w:t>
            </w:r>
          </w:p>
        </w:tc>
        <w:tc>
          <w:tcPr>
            <w:tcW w:w="0" w:type="auto"/>
            <w:tcBorders>
              <w:top w:val="outset" w:sz="6" w:space="0" w:color="auto"/>
              <w:left w:val="outset" w:sz="6" w:space="0" w:color="auto"/>
              <w:bottom w:val="outset" w:sz="6" w:space="0" w:color="auto"/>
              <w:right w:val="outset" w:sz="6" w:space="0" w:color="auto"/>
            </w:tcBorders>
            <w:vAlign w:val="center"/>
            <w:hideMark/>
          </w:tcPr>
          <w:p w14:paraId="1EDEFB44" w14:textId="77777777" w:rsidR="00BA3275" w:rsidRPr="00C01518" w:rsidRDefault="00000000">
            <w:pPr>
              <w:jc w:val="center"/>
              <w:rPr>
                <w:rFonts w:eastAsia="Times New Roman"/>
                <w:sz w:val="14"/>
                <w:szCs w:val="14"/>
              </w:rPr>
            </w:pPr>
            <w:r w:rsidRPr="00C01518">
              <w:rPr>
                <w:rFonts w:ascii="Arial" w:eastAsia="Times New Roman" w:hAnsi="Arial" w:cs="Arial"/>
                <w:b/>
                <w:bCs/>
                <w:sz w:val="14"/>
                <w:szCs w:val="14"/>
              </w:rPr>
              <w:t>Saldo em 01/01/2025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6B5A1713" w14:textId="77777777" w:rsidR="00BA3275" w:rsidRPr="00C01518" w:rsidRDefault="00000000">
            <w:pPr>
              <w:jc w:val="center"/>
              <w:rPr>
                <w:rFonts w:eastAsia="Times New Roman"/>
                <w:sz w:val="14"/>
                <w:szCs w:val="14"/>
              </w:rPr>
            </w:pPr>
            <w:r w:rsidRPr="00C01518">
              <w:rPr>
                <w:rFonts w:ascii="Arial" w:eastAsia="Times New Roman" w:hAnsi="Arial" w:cs="Arial"/>
                <w:b/>
                <w:bCs/>
                <w:sz w:val="14"/>
                <w:szCs w:val="14"/>
              </w:rPr>
              <w:t>Nova classificação de acordo com a Resolução CMN 4.966/21</w:t>
            </w:r>
          </w:p>
        </w:tc>
      </w:tr>
      <w:tr w:rsidR="00303CC6" w:rsidRPr="00C01518" w14:paraId="66E4B576" w14:textId="77777777" w:rsidTr="00C01518">
        <w:trPr>
          <w:trHeight w:val="150"/>
        </w:trPr>
        <w:tc>
          <w:tcPr>
            <w:tcW w:w="0" w:type="auto"/>
            <w:vMerge w:val="restart"/>
            <w:tcBorders>
              <w:top w:val="outset" w:sz="6" w:space="0" w:color="auto"/>
              <w:left w:val="outset" w:sz="6" w:space="0" w:color="auto"/>
              <w:right w:val="outset" w:sz="6" w:space="0" w:color="auto"/>
            </w:tcBorders>
            <w:vAlign w:val="center"/>
            <w:hideMark/>
          </w:tcPr>
          <w:p w14:paraId="3B561475" w14:textId="48039915" w:rsidR="00303CC6" w:rsidRPr="00C01518" w:rsidRDefault="00303CC6" w:rsidP="00303CC6">
            <w:pPr>
              <w:jc w:val="center"/>
              <w:rPr>
                <w:rFonts w:eastAsia="Times New Roman"/>
                <w:sz w:val="14"/>
                <w:szCs w:val="14"/>
              </w:rPr>
            </w:pPr>
            <w:r w:rsidRPr="00C01518">
              <w:rPr>
                <w:rFonts w:ascii="Arial" w:eastAsia="Times New Roman" w:hAnsi="Arial" w:cs="Arial"/>
                <w:b/>
                <w:bCs/>
                <w:sz w:val="14"/>
                <w:szCs w:val="14"/>
              </w:rPr>
              <w:t>Depósitos e Demais Instrumentos Financeiros</w:t>
            </w:r>
          </w:p>
        </w:tc>
        <w:tc>
          <w:tcPr>
            <w:tcW w:w="0" w:type="auto"/>
            <w:tcBorders>
              <w:top w:val="outset" w:sz="6" w:space="0" w:color="auto"/>
              <w:left w:val="outset" w:sz="6" w:space="0" w:color="auto"/>
              <w:bottom w:val="outset" w:sz="6" w:space="0" w:color="auto"/>
              <w:right w:val="outset" w:sz="6" w:space="0" w:color="auto"/>
            </w:tcBorders>
            <w:vAlign w:val="bottom"/>
            <w:hideMark/>
          </w:tcPr>
          <w:p w14:paraId="705B95DB" w14:textId="77777777" w:rsidR="00303CC6" w:rsidRPr="00C01518" w:rsidRDefault="00303CC6" w:rsidP="00303CC6">
            <w:pPr>
              <w:jc w:val="right"/>
              <w:rPr>
                <w:rFonts w:eastAsia="Times New Roman"/>
                <w:sz w:val="14"/>
                <w:szCs w:val="14"/>
              </w:rPr>
            </w:pPr>
            <w:r w:rsidRPr="00C01518">
              <w:rPr>
                <w:rFonts w:ascii="Arial" w:eastAsia="Times New Roman" w:hAnsi="Arial" w:cs="Arial"/>
                <w:sz w:val="14"/>
                <w:szCs w:val="14"/>
              </w:rPr>
              <w:t>Depósitos</w:t>
            </w:r>
          </w:p>
        </w:tc>
        <w:tc>
          <w:tcPr>
            <w:tcW w:w="0" w:type="auto"/>
            <w:tcBorders>
              <w:top w:val="outset" w:sz="6" w:space="0" w:color="auto"/>
              <w:left w:val="outset" w:sz="6" w:space="0" w:color="auto"/>
              <w:bottom w:val="outset" w:sz="6" w:space="0" w:color="auto"/>
              <w:right w:val="outset" w:sz="6" w:space="0" w:color="auto"/>
            </w:tcBorders>
            <w:vAlign w:val="bottom"/>
            <w:hideMark/>
          </w:tcPr>
          <w:p w14:paraId="0490EC19" w14:textId="5A82C557" w:rsidR="00303CC6" w:rsidRPr="00C01518" w:rsidRDefault="00303CC6" w:rsidP="00303CC6">
            <w:pPr>
              <w:jc w:val="right"/>
              <w:rPr>
                <w:rFonts w:ascii="Arial" w:eastAsia="Times New Roman" w:hAnsi="Arial" w:cs="Arial"/>
                <w:sz w:val="14"/>
                <w:szCs w:val="14"/>
              </w:rPr>
            </w:pPr>
            <w:r w:rsidRPr="00C01518">
              <w:rPr>
                <w:rFonts w:ascii="Arial" w:eastAsia="Times New Roman" w:hAnsi="Arial" w:cs="Arial"/>
                <w:sz w:val="14"/>
                <w:szCs w:val="14"/>
              </w:rPr>
              <w:t>568.809.394,34</w:t>
            </w:r>
          </w:p>
        </w:tc>
        <w:tc>
          <w:tcPr>
            <w:tcW w:w="0" w:type="auto"/>
            <w:tcBorders>
              <w:top w:val="outset" w:sz="6" w:space="0" w:color="auto"/>
              <w:left w:val="outset" w:sz="6" w:space="0" w:color="auto"/>
              <w:bottom w:val="outset" w:sz="6" w:space="0" w:color="auto"/>
              <w:right w:val="outset" w:sz="6" w:space="0" w:color="auto"/>
            </w:tcBorders>
            <w:vAlign w:val="bottom"/>
            <w:hideMark/>
          </w:tcPr>
          <w:p w14:paraId="46BE202C" w14:textId="440D4321" w:rsidR="00303CC6" w:rsidRPr="00C01518" w:rsidRDefault="00303CC6" w:rsidP="00303CC6">
            <w:pPr>
              <w:jc w:val="right"/>
              <w:rPr>
                <w:rFonts w:ascii="Arial" w:eastAsia="Times New Roman" w:hAnsi="Arial" w:cs="Arial"/>
                <w:sz w:val="14"/>
                <w:szCs w:val="14"/>
              </w:rPr>
            </w:pPr>
            <w:r w:rsidRPr="00C01518">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bottom"/>
            <w:hideMark/>
          </w:tcPr>
          <w:p w14:paraId="06E50E75" w14:textId="470585AE" w:rsidR="00303CC6" w:rsidRPr="00C01518" w:rsidRDefault="00303CC6" w:rsidP="00303CC6">
            <w:pPr>
              <w:jc w:val="right"/>
              <w:rPr>
                <w:rFonts w:ascii="Arial" w:eastAsia="Times New Roman" w:hAnsi="Arial" w:cs="Arial"/>
                <w:sz w:val="14"/>
                <w:szCs w:val="14"/>
              </w:rPr>
            </w:pPr>
            <w:r w:rsidRPr="00C01518">
              <w:rPr>
                <w:rFonts w:ascii="Arial" w:eastAsia="Times New Roman" w:hAnsi="Arial" w:cs="Arial"/>
                <w:sz w:val="14"/>
                <w:szCs w:val="14"/>
              </w:rPr>
              <w:t>568.809.394,34</w:t>
            </w:r>
          </w:p>
        </w:tc>
        <w:tc>
          <w:tcPr>
            <w:tcW w:w="0" w:type="auto"/>
            <w:tcBorders>
              <w:top w:val="outset" w:sz="6" w:space="0" w:color="auto"/>
              <w:left w:val="outset" w:sz="6" w:space="0" w:color="auto"/>
              <w:bottom w:val="outset" w:sz="6" w:space="0" w:color="auto"/>
              <w:right w:val="outset" w:sz="6" w:space="0" w:color="auto"/>
            </w:tcBorders>
            <w:vAlign w:val="bottom"/>
            <w:hideMark/>
          </w:tcPr>
          <w:p w14:paraId="1C684325" w14:textId="77777777" w:rsidR="00303CC6" w:rsidRPr="00C01518" w:rsidRDefault="00303CC6" w:rsidP="00303CC6">
            <w:pPr>
              <w:jc w:val="right"/>
              <w:rPr>
                <w:rFonts w:eastAsia="Times New Roman"/>
                <w:sz w:val="14"/>
                <w:szCs w:val="14"/>
              </w:rPr>
            </w:pPr>
            <w:r w:rsidRPr="00C01518">
              <w:rPr>
                <w:rFonts w:ascii="Arial" w:eastAsia="Times New Roman" w:hAnsi="Arial" w:cs="Arial"/>
                <w:sz w:val="14"/>
                <w:szCs w:val="14"/>
              </w:rPr>
              <w:t>Custo Amortizado</w:t>
            </w:r>
          </w:p>
        </w:tc>
      </w:tr>
      <w:tr w:rsidR="00303CC6" w:rsidRPr="00C01518" w14:paraId="4809E1FB" w14:textId="77777777" w:rsidTr="00C01518">
        <w:trPr>
          <w:trHeight w:val="150"/>
        </w:trPr>
        <w:tc>
          <w:tcPr>
            <w:tcW w:w="0" w:type="auto"/>
            <w:vMerge/>
            <w:tcBorders>
              <w:left w:val="outset" w:sz="6" w:space="0" w:color="auto"/>
              <w:right w:val="outset" w:sz="6" w:space="0" w:color="auto"/>
            </w:tcBorders>
            <w:vAlign w:val="center"/>
            <w:hideMark/>
          </w:tcPr>
          <w:p w14:paraId="6F125398" w14:textId="19688F49" w:rsidR="00303CC6" w:rsidRPr="00C01518" w:rsidRDefault="00303CC6" w:rsidP="00303CC6">
            <w:pPr>
              <w:jc w:val="center"/>
              <w:rPr>
                <w:rFonts w:eastAsia="Times New Roman"/>
                <w:sz w:val="14"/>
                <w:szCs w:val="14"/>
              </w:rPr>
            </w:pPr>
          </w:p>
        </w:tc>
        <w:tc>
          <w:tcPr>
            <w:tcW w:w="0" w:type="auto"/>
            <w:tcBorders>
              <w:top w:val="outset" w:sz="6" w:space="0" w:color="auto"/>
              <w:left w:val="outset" w:sz="6" w:space="0" w:color="auto"/>
              <w:bottom w:val="outset" w:sz="6" w:space="0" w:color="auto"/>
              <w:right w:val="outset" w:sz="6" w:space="0" w:color="auto"/>
            </w:tcBorders>
            <w:vAlign w:val="bottom"/>
            <w:hideMark/>
          </w:tcPr>
          <w:p w14:paraId="2D1DE55B" w14:textId="77777777" w:rsidR="00303CC6" w:rsidRPr="00C01518" w:rsidRDefault="00303CC6" w:rsidP="00303CC6">
            <w:pPr>
              <w:jc w:val="right"/>
              <w:rPr>
                <w:rFonts w:eastAsia="Times New Roman"/>
                <w:sz w:val="14"/>
                <w:szCs w:val="14"/>
              </w:rPr>
            </w:pPr>
            <w:r w:rsidRPr="00C01518">
              <w:rPr>
                <w:rFonts w:ascii="Arial" w:eastAsia="Times New Roman" w:hAnsi="Arial" w:cs="Arial"/>
                <w:sz w:val="14"/>
                <w:szCs w:val="14"/>
              </w:rPr>
              <w:t>Recursos de Letras Imobiliárias, Hipot., Créd. e Similares</w:t>
            </w:r>
          </w:p>
        </w:tc>
        <w:tc>
          <w:tcPr>
            <w:tcW w:w="0" w:type="auto"/>
            <w:tcBorders>
              <w:top w:val="outset" w:sz="6" w:space="0" w:color="auto"/>
              <w:left w:val="outset" w:sz="6" w:space="0" w:color="auto"/>
              <w:bottom w:val="outset" w:sz="6" w:space="0" w:color="auto"/>
              <w:right w:val="outset" w:sz="6" w:space="0" w:color="auto"/>
            </w:tcBorders>
            <w:vAlign w:val="bottom"/>
            <w:hideMark/>
          </w:tcPr>
          <w:p w14:paraId="6EF4A6B4" w14:textId="5CDEE920" w:rsidR="00303CC6" w:rsidRPr="00C01518" w:rsidRDefault="00303CC6" w:rsidP="00303CC6">
            <w:pPr>
              <w:jc w:val="right"/>
              <w:rPr>
                <w:rFonts w:ascii="Arial" w:eastAsia="Times New Roman" w:hAnsi="Arial" w:cs="Arial"/>
                <w:sz w:val="14"/>
                <w:szCs w:val="14"/>
              </w:rPr>
            </w:pPr>
            <w:r w:rsidRPr="00C01518">
              <w:rPr>
                <w:rFonts w:ascii="Arial" w:eastAsia="Times New Roman" w:hAnsi="Arial" w:cs="Arial"/>
                <w:sz w:val="14"/>
                <w:szCs w:val="14"/>
              </w:rPr>
              <w:t>87.269.502,54</w:t>
            </w:r>
          </w:p>
        </w:tc>
        <w:tc>
          <w:tcPr>
            <w:tcW w:w="0" w:type="auto"/>
            <w:tcBorders>
              <w:top w:val="outset" w:sz="6" w:space="0" w:color="auto"/>
              <w:left w:val="outset" w:sz="6" w:space="0" w:color="auto"/>
              <w:bottom w:val="outset" w:sz="6" w:space="0" w:color="auto"/>
              <w:right w:val="outset" w:sz="6" w:space="0" w:color="auto"/>
            </w:tcBorders>
            <w:vAlign w:val="bottom"/>
            <w:hideMark/>
          </w:tcPr>
          <w:p w14:paraId="3AAC2EA4" w14:textId="4991FD1A" w:rsidR="00303CC6" w:rsidRPr="00C01518" w:rsidRDefault="00303CC6" w:rsidP="00303CC6">
            <w:pPr>
              <w:jc w:val="right"/>
              <w:rPr>
                <w:rFonts w:ascii="Arial" w:eastAsia="Times New Roman" w:hAnsi="Arial" w:cs="Arial"/>
                <w:sz w:val="14"/>
                <w:szCs w:val="14"/>
              </w:rPr>
            </w:pPr>
            <w:r w:rsidRPr="00C01518">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bottom"/>
            <w:hideMark/>
          </w:tcPr>
          <w:p w14:paraId="7A862F1A" w14:textId="29D0C6B6" w:rsidR="00303CC6" w:rsidRPr="00C01518" w:rsidRDefault="00303CC6" w:rsidP="00303CC6">
            <w:pPr>
              <w:jc w:val="right"/>
              <w:rPr>
                <w:rFonts w:ascii="Arial" w:eastAsia="Times New Roman" w:hAnsi="Arial" w:cs="Arial"/>
                <w:sz w:val="14"/>
                <w:szCs w:val="14"/>
              </w:rPr>
            </w:pPr>
            <w:r w:rsidRPr="00C01518">
              <w:rPr>
                <w:rFonts w:ascii="Arial" w:eastAsia="Times New Roman" w:hAnsi="Arial" w:cs="Arial"/>
                <w:sz w:val="14"/>
                <w:szCs w:val="14"/>
              </w:rPr>
              <w:t>87.269.502,54</w:t>
            </w:r>
          </w:p>
        </w:tc>
        <w:tc>
          <w:tcPr>
            <w:tcW w:w="0" w:type="auto"/>
            <w:tcBorders>
              <w:top w:val="outset" w:sz="6" w:space="0" w:color="auto"/>
              <w:left w:val="outset" w:sz="6" w:space="0" w:color="auto"/>
              <w:bottom w:val="outset" w:sz="6" w:space="0" w:color="auto"/>
              <w:right w:val="outset" w:sz="6" w:space="0" w:color="auto"/>
            </w:tcBorders>
            <w:vAlign w:val="bottom"/>
            <w:hideMark/>
          </w:tcPr>
          <w:p w14:paraId="08C9FD5F" w14:textId="77777777" w:rsidR="00303CC6" w:rsidRPr="00C01518" w:rsidRDefault="00303CC6" w:rsidP="00303CC6">
            <w:pPr>
              <w:jc w:val="right"/>
              <w:rPr>
                <w:rFonts w:eastAsia="Times New Roman"/>
                <w:sz w:val="14"/>
                <w:szCs w:val="14"/>
              </w:rPr>
            </w:pPr>
            <w:r w:rsidRPr="00C01518">
              <w:rPr>
                <w:rFonts w:ascii="Arial" w:eastAsia="Times New Roman" w:hAnsi="Arial" w:cs="Arial"/>
                <w:sz w:val="14"/>
                <w:szCs w:val="14"/>
              </w:rPr>
              <w:t>Custo Amortizado</w:t>
            </w:r>
          </w:p>
        </w:tc>
      </w:tr>
      <w:tr w:rsidR="00303CC6" w:rsidRPr="00C01518" w14:paraId="7F8E1C01" w14:textId="77777777" w:rsidTr="00C01518">
        <w:trPr>
          <w:trHeight w:val="150"/>
        </w:trPr>
        <w:tc>
          <w:tcPr>
            <w:tcW w:w="0" w:type="auto"/>
            <w:vMerge/>
            <w:tcBorders>
              <w:left w:val="outset" w:sz="6" w:space="0" w:color="auto"/>
              <w:right w:val="outset" w:sz="6" w:space="0" w:color="auto"/>
            </w:tcBorders>
            <w:vAlign w:val="center"/>
            <w:hideMark/>
          </w:tcPr>
          <w:p w14:paraId="3E2F2410" w14:textId="0E1274FE" w:rsidR="00303CC6" w:rsidRPr="00C01518" w:rsidRDefault="00303CC6" w:rsidP="00303CC6">
            <w:pPr>
              <w:jc w:val="center"/>
              <w:rPr>
                <w:rFonts w:eastAsia="Times New Roman"/>
                <w:sz w:val="14"/>
                <w:szCs w:val="14"/>
              </w:rPr>
            </w:pPr>
          </w:p>
        </w:tc>
        <w:tc>
          <w:tcPr>
            <w:tcW w:w="0" w:type="auto"/>
            <w:tcBorders>
              <w:top w:val="outset" w:sz="6" w:space="0" w:color="auto"/>
              <w:left w:val="outset" w:sz="6" w:space="0" w:color="auto"/>
              <w:bottom w:val="outset" w:sz="6" w:space="0" w:color="auto"/>
              <w:right w:val="outset" w:sz="6" w:space="0" w:color="auto"/>
            </w:tcBorders>
            <w:vAlign w:val="bottom"/>
            <w:hideMark/>
          </w:tcPr>
          <w:p w14:paraId="31875766" w14:textId="77777777" w:rsidR="00303CC6" w:rsidRPr="00C01518" w:rsidRDefault="00303CC6" w:rsidP="00303CC6">
            <w:pPr>
              <w:jc w:val="right"/>
              <w:rPr>
                <w:rFonts w:eastAsia="Times New Roman"/>
                <w:sz w:val="14"/>
                <w:szCs w:val="14"/>
              </w:rPr>
            </w:pPr>
            <w:r w:rsidRPr="00C01518">
              <w:rPr>
                <w:rFonts w:ascii="Arial" w:eastAsia="Times New Roman" w:hAnsi="Arial" w:cs="Arial"/>
                <w:sz w:val="14"/>
                <w:szCs w:val="14"/>
              </w:rPr>
              <w:t>Relações Interfinanceiras</w:t>
            </w:r>
          </w:p>
        </w:tc>
        <w:tc>
          <w:tcPr>
            <w:tcW w:w="0" w:type="auto"/>
            <w:tcBorders>
              <w:top w:val="outset" w:sz="6" w:space="0" w:color="auto"/>
              <w:left w:val="outset" w:sz="6" w:space="0" w:color="auto"/>
              <w:bottom w:val="outset" w:sz="6" w:space="0" w:color="auto"/>
              <w:right w:val="outset" w:sz="6" w:space="0" w:color="auto"/>
            </w:tcBorders>
            <w:vAlign w:val="bottom"/>
            <w:hideMark/>
          </w:tcPr>
          <w:p w14:paraId="3030B8E0" w14:textId="19C6B7BD" w:rsidR="00303CC6" w:rsidRPr="00C01518" w:rsidRDefault="00303CC6" w:rsidP="00303CC6">
            <w:pPr>
              <w:jc w:val="right"/>
              <w:rPr>
                <w:rFonts w:ascii="Arial" w:eastAsia="Times New Roman" w:hAnsi="Arial" w:cs="Arial"/>
                <w:sz w:val="14"/>
                <w:szCs w:val="14"/>
              </w:rPr>
            </w:pPr>
            <w:r w:rsidRPr="00C01518">
              <w:rPr>
                <w:rFonts w:ascii="Arial" w:eastAsia="Times New Roman" w:hAnsi="Arial" w:cs="Arial"/>
                <w:sz w:val="14"/>
                <w:szCs w:val="14"/>
              </w:rPr>
              <w:t>186.748.803,40</w:t>
            </w:r>
          </w:p>
        </w:tc>
        <w:tc>
          <w:tcPr>
            <w:tcW w:w="0" w:type="auto"/>
            <w:tcBorders>
              <w:top w:val="outset" w:sz="6" w:space="0" w:color="auto"/>
              <w:left w:val="outset" w:sz="6" w:space="0" w:color="auto"/>
              <w:bottom w:val="outset" w:sz="6" w:space="0" w:color="auto"/>
              <w:right w:val="outset" w:sz="6" w:space="0" w:color="auto"/>
            </w:tcBorders>
            <w:vAlign w:val="bottom"/>
            <w:hideMark/>
          </w:tcPr>
          <w:p w14:paraId="58313487" w14:textId="3CAA7647" w:rsidR="00303CC6" w:rsidRPr="00C01518" w:rsidRDefault="00303CC6" w:rsidP="00303CC6">
            <w:pPr>
              <w:jc w:val="right"/>
              <w:rPr>
                <w:rFonts w:ascii="Arial" w:eastAsia="Times New Roman" w:hAnsi="Arial" w:cs="Arial"/>
                <w:sz w:val="14"/>
                <w:szCs w:val="14"/>
              </w:rPr>
            </w:pPr>
            <w:r w:rsidRPr="00C01518">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bottom"/>
            <w:hideMark/>
          </w:tcPr>
          <w:p w14:paraId="72B8FFFF" w14:textId="43CF4DAC" w:rsidR="00303CC6" w:rsidRPr="00C01518" w:rsidRDefault="00303CC6" w:rsidP="00303CC6">
            <w:pPr>
              <w:jc w:val="right"/>
              <w:rPr>
                <w:rFonts w:ascii="Arial" w:eastAsia="Times New Roman" w:hAnsi="Arial" w:cs="Arial"/>
                <w:sz w:val="14"/>
                <w:szCs w:val="14"/>
              </w:rPr>
            </w:pPr>
            <w:r w:rsidRPr="00C01518">
              <w:rPr>
                <w:rFonts w:ascii="Arial" w:eastAsia="Times New Roman" w:hAnsi="Arial" w:cs="Arial"/>
                <w:sz w:val="14"/>
                <w:szCs w:val="14"/>
              </w:rPr>
              <w:t>186.748.803,40</w:t>
            </w:r>
          </w:p>
        </w:tc>
        <w:tc>
          <w:tcPr>
            <w:tcW w:w="0" w:type="auto"/>
            <w:tcBorders>
              <w:top w:val="outset" w:sz="6" w:space="0" w:color="auto"/>
              <w:left w:val="outset" w:sz="6" w:space="0" w:color="auto"/>
              <w:bottom w:val="outset" w:sz="6" w:space="0" w:color="auto"/>
              <w:right w:val="outset" w:sz="6" w:space="0" w:color="auto"/>
            </w:tcBorders>
            <w:vAlign w:val="bottom"/>
            <w:hideMark/>
          </w:tcPr>
          <w:p w14:paraId="3E41DB7D" w14:textId="77777777" w:rsidR="00303CC6" w:rsidRPr="00C01518" w:rsidRDefault="00303CC6" w:rsidP="00303CC6">
            <w:pPr>
              <w:jc w:val="right"/>
              <w:rPr>
                <w:rFonts w:eastAsia="Times New Roman"/>
                <w:sz w:val="14"/>
                <w:szCs w:val="14"/>
              </w:rPr>
            </w:pPr>
            <w:r w:rsidRPr="00C01518">
              <w:rPr>
                <w:rFonts w:ascii="Arial" w:eastAsia="Times New Roman" w:hAnsi="Arial" w:cs="Arial"/>
                <w:sz w:val="14"/>
                <w:szCs w:val="14"/>
              </w:rPr>
              <w:t>Custo Amortizado</w:t>
            </w:r>
          </w:p>
        </w:tc>
      </w:tr>
      <w:tr w:rsidR="00303CC6" w:rsidRPr="00C01518" w14:paraId="0421624F" w14:textId="77777777" w:rsidTr="00C01518">
        <w:trPr>
          <w:trHeight w:val="150"/>
        </w:trPr>
        <w:tc>
          <w:tcPr>
            <w:tcW w:w="0" w:type="auto"/>
            <w:vMerge/>
            <w:tcBorders>
              <w:left w:val="outset" w:sz="6" w:space="0" w:color="auto"/>
              <w:bottom w:val="outset" w:sz="6" w:space="0" w:color="auto"/>
              <w:right w:val="outset" w:sz="6" w:space="0" w:color="auto"/>
            </w:tcBorders>
            <w:vAlign w:val="center"/>
          </w:tcPr>
          <w:p w14:paraId="656BF023" w14:textId="77777777" w:rsidR="00303CC6" w:rsidRPr="00C01518" w:rsidRDefault="00303CC6" w:rsidP="00303CC6">
            <w:pPr>
              <w:jc w:val="center"/>
              <w:rPr>
                <w:rFonts w:ascii="Arial" w:eastAsia="Times New Roman" w:hAnsi="Arial" w:cs="Arial"/>
                <w:b/>
                <w:bCs/>
                <w:sz w:val="14"/>
                <w:szCs w:val="14"/>
              </w:rPr>
            </w:pPr>
          </w:p>
        </w:tc>
        <w:tc>
          <w:tcPr>
            <w:tcW w:w="0" w:type="auto"/>
            <w:tcBorders>
              <w:top w:val="outset" w:sz="6" w:space="0" w:color="auto"/>
              <w:left w:val="outset" w:sz="6" w:space="0" w:color="auto"/>
              <w:bottom w:val="outset" w:sz="6" w:space="0" w:color="auto"/>
              <w:right w:val="outset" w:sz="6" w:space="0" w:color="auto"/>
            </w:tcBorders>
            <w:vAlign w:val="bottom"/>
          </w:tcPr>
          <w:p w14:paraId="78E8524B" w14:textId="64ECC667" w:rsidR="00303CC6" w:rsidRPr="00C01518" w:rsidRDefault="00303CC6" w:rsidP="00303CC6">
            <w:pPr>
              <w:jc w:val="right"/>
              <w:rPr>
                <w:rFonts w:ascii="Arial" w:eastAsia="Times New Roman" w:hAnsi="Arial" w:cs="Arial"/>
                <w:sz w:val="14"/>
                <w:szCs w:val="14"/>
              </w:rPr>
            </w:pPr>
            <w:r w:rsidRPr="00C01518">
              <w:rPr>
                <w:rFonts w:ascii="Arial" w:eastAsia="Times New Roman" w:hAnsi="Arial" w:cs="Arial"/>
                <w:sz w:val="14"/>
                <w:szCs w:val="14"/>
              </w:rPr>
              <w:t>Perdas Esperadas - Garantias Financeiras Prestadas</w:t>
            </w:r>
          </w:p>
        </w:tc>
        <w:tc>
          <w:tcPr>
            <w:tcW w:w="0" w:type="auto"/>
            <w:tcBorders>
              <w:top w:val="outset" w:sz="6" w:space="0" w:color="auto"/>
              <w:left w:val="outset" w:sz="6" w:space="0" w:color="auto"/>
              <w:bottom w:val="outset" w:sz="6" w:space="0" w:color="auto"/>
              <w:right w:val="outset" w:sz="6" w:space="0" w:color="auto"/>
            </w:tcBorders>
            <w:vAlign w:val="bottom"/>
          </w:tcPr>
          <w:p w14:paraId="03A9F073" w14:textId="6A844724" w:rsidR="00303CC6" w:rsidRPr="00C01518" w:rsidRDefault="00303CC6" w:rsidP="00303CC6">
            <w:pPr>
              <w:jc w:val="right"/>
              <w:rPr>
                <w:rFonts w:ascii="Arial" w:eastAsia="Times New Roman" w:hAnsi="Arial" w:cs="Arial"/>
                <w:sz w:val="14"/>
                <w:szCs w:val="14"/>
              </w:rPr>
            </w:pPr>
            <w:r w:rsidRPr="00C01518">
              <w:rPr>
                <w:rFonts w:ascii="Arial" w:eastAsia="Times New Roman" w:hAnsi="Arial" w:cs="Arial"/>
                <w:sz w:val="14"/>
                <w:szCs w:val="14"/>
              </w:rPr>
              <w:t>518.126,25</w:t>
            </w:r>
          </w:p>
        </w:tc>
        <w:tc>
          <w:tcPr>
            <w:tcW w:w="0" w:type="auto"/>
            <w:tcBorders>
              <w:top w:val="outset" w:sz="6" w:space="0" w:color="auto"/>
              <w:left w:val="outset" w:sz="6" w:space="0" w:color="auto"/>
              <w:bottom w:val="outset" w:sz="6" w:space="0" w:color="auto"/>
              <w:right w:val="outset" w:sz="6" w:space="0" w:color="auto"/>
            </w:tcBorders>
            <w:vAlign w:val="bottom"/>
          </w:tcPr>
          <w:p w14:paraId="297A2027" w14:textId="6FAA153B" w:rsidR="00303CC6" w:rsidRPr="00C01518" w:rsidRDefault="00303CC6" w:rsidP="00303CC6">
            <w:pPr>
              <w:jc w:val="right"/>
              <w:rPr>
                <w:rFonts w:ascii="Arial" w:eastAsia="Times New Roman" w:hAnsi="Arial" w:cs="Arial"/>
                <w:sz w:val="14"/>
                <w:szCs w:val="14"/>
              </w:rPr>
            </w:pPr>
            <w:r w:rsidRPr="00C01518">
              <w:rPr>
                <w:rFonts w:ascii="Arial" w:eastAsia="Times New Roman" w:hAnsi="Arial" w:cs="Arial"/>
                <w:sz w:val="14"/>
                <w:szCs w:val="14"/>
              </w:rPr>
              <w:t>(288.055,61)</w:t>
            </w:r>
          </w:p>
        </w:tc>
        <w:tc>
          <w:tcPr>
            <w:tcW w:w="0" w:type="auto"/>
            <w:tcBorders>
              <w:top w:val="outset" w:sz="6" w:space="0" w:color="auto"/>
              <w:left w:val="outset" w:sz="6" w:space="0" w:color="auto"/>
              <w:bottom w:val="outset" w:sz="6" w:space="0" w:color="auto"/>
              <w:right w:val="outset" w:sz="6" w:space="0" w:color="auto"/>
            </w:tcBorders>
            <w:vAlign w:val="bottom"/>
          </w:tcPr>
          <w:p w14:paraId="4D3050BC" w14:textId="6AFD5A83" w:rsidR="00303CC6" w:rsidRPr="00C01518" w:rsidRDefault="00303CC6" w:rsidP="00303CC6">
            <w:pPr>
              <w:jc w:val="right"/>
              <w:rPr>
                <w:rFonts w:ascii="Arial" w:eastAsia="Times New Roman" w:hAnsi="Arial" w:cs="Arial"/>
                <w:sz w:val="14"/>
                <w:szCs w:val="14"/>
              </w:rPr>
            </w:pPr>
            <w:r w:rsidRPr="00C01518">
              <w:rPr>
                <w:rFonts w:ascii="Arial" w:eastAsia="Times New Roman" w:hAnsi="Arial" w:cs="Arial"/>
                <w:sz w:val="14"/>
                <w:szCs w:val="14"/>
              </w:rPr>
              <w:t>230.070,64</w:t>
            </w:r>
          </w:p>
        </w:tc>
        <w:tc>
          <w:tcPr>
            <w:tcW w:w="0" w:type="auto"/>
            <w:tcBorders>
              <w:top w:val="outset" w:sz="6" w:space="0" w:color="auto"/>
              <w:left w:val="outset" w:sz="6" w:space="0" w:color="auto"/>
              <w:bottom w:val="outset" w:sz="6" w:space="0" w:color="auto"/>
              <w:right w:val="outset" w:sz="6" w:space="0" w:color="auto"/>
            </w:tcBorders>
            <w:vAlign w:val="bottom"/>
          </w:tcPr>
          <w:p w14:paraId="51960A99" w14:textId="1DE4F43B" w:rsidR="00303CC6" w:rsidRPr="00C01518" w:rsidRDefault="00303CC6" w:rsidP="00303CC6">
            <w:pPr>
              <w:jc w:val="right"/>
              <w:rPr>
                <w:rFonts w:ascii="Arial" w:eastAsia="Times New Roman" w:hAnsi="Arial" w:cs="Arial"/>
                <w:sz w:val="14"/>
                <w:szCs w:val="14"/>
              </w:rPr>
            </w:pPr>
            <w:r w:rsidRPr="00C01518">
              <w:rPr>
                <w:rFonts w:ascii="Arial" w:eastAsia="Times New Roman" w:hAnsi="Arial" w:cs="Arial"/>
                <w:sz w:val="14"/>
                <w:szCs w:val="14"/>
              </w:rPr>
              <w:t>Custo Amortizado</w:t>
            </w:r>
          </w:p>
        </w:tc>
      </w:tr>
      <w:tr w:rsidR="00303CC6" w:rsidRPr="00C01518" w14:paraId="4D0C991D" w14:textId="77777777" w:rsidTr="00C01518">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9D54B27" w14:textId="77777777" w:rsidR="00303CC6" w:rsidRPr="00C01518" w:rsidRDefault="00303CC6" w:rsidP="00303CC6">
            <w:pPr>
              <w:jc w:val="center"/>
              <w:rPr>
                <w:rFonts w:eastAsia="Times New Roman"/>
                <w:sz w:val="14"/>
                <w:szCs w:val="14"/>
              </w:rPr>
            </w:pPr>
            <w:r w:rsidRPr="00C01518">
              <w:rPr>
                <w:rFonts w:ascii="Arial" w:eastAsia="Times New Roman" w:hAnsi="Arial" w:cs="Arial"/>
                <w:b/>
                <w:bCs/>
                <w:sz w:val="14"/>
                <w:szCs w:val="14"/>
              </w:rPr>
              <w:t>Total Passivos Financeiros</w:t>
            </w:r>
          </w:p>
        </w:tc>
        <w:tc>
          <w:tcPr>
            <w:tcW w:w="0" w:type="auto"/>
            <w:tcBorders>
              <w:top w:val="outset" w:sz="6" w:space="0" w:color="auto"/>
              <w:left w:val="outset" w:sz="6" w:space="0" w:color="auto"/>
              <w:bottom w:val="outset" w:sz="6" w:space="0" w:color="auto"/>
              <w:right w:val="outset" w:sz="6" w:space="0" w:color="auto"/>
            </w:tcBorders>
            <w:vAlign w:val="bottom"/>
            <w:hideMark/>
          </w:tcPr>
          <w:p w14:paraId="56B0C326" w14:textId="77777777" w:rsidR="00303CC6" w:rsidRPr="00C01518" w:rsidRDefault="00303CC6" w:rsidP="00303CC6">
            <w:pPr>
              <w:jc w:val="right"/>
              <w:rPr>
                <w:rFonts w:eastAsia="Times New Roman"/>
                <w:sz w:val="14"/>
                <w:szCs w:val="14"/>
              </w:rPr>
            </w:pPr>
            <w:r w:rsidRPr="00C01518">
              <w:rPr>
                <w:rFonts w:ascii="Arial" w:eastAsia="Times New Roman" w:hAnsi="Arial" w:cs="Arial"/>
                <w:b/>
                <w:bCs/>
                <w:sz w:val="14"/>
                <w:szCs w:val="14"/>
              </w:rPr>
              <w:t> </w:t>
            </w:r>
          </w:p>
        </w:tc>
        <w:tc>
          <w:tcPr>
            <w:tcW w:w="0" w:type="auto"/>
            <w:tcBorders>
              <w:top w:val="outset" w:sz="6" w:space="0" w:color="auto"/>
              <w:left w:val="outset" w:sz="6" w:space="0" w:color="auto"/>
              <w:bottom w:val="outset" w:sz="6" w:space="0" w:color="auto"/>
              <w:right w:val="outset" w:sz="6" w:space="0" w:color="auto"/>
            </w:tcBorders>
            <w:vAlign w:val="bottom"/>
            <w:hideMark/>
          </w:tcPr>
          <w:p w14:paraId="563B7A8B" w14:textId="692FE35D" w:rsidR="00303CC6" w:rsidRPr="00C01518" w:rsidRDefault="00303CC6" w:rsidP="00303CC6">
            <w:pPr>
              <w:jc w:val="right"/>
              <w:rPr>
                <w:rFonts w:ascii="Arial" w:eastAsia="Times New Roman" w:hAnsi="Arial" w:cs="Arial"/>
                <w:b/>
                <w:bCs/>
                <w:sz w:val="14"/>
                <w:szCs w:val="14"/>
              </w:rPr>
            </w:pPr>
            <w:r w:rsidRPr="00C01518">
              <w:rPr>
                <w:rFonts w:ascii="Arial" w:eastAsia="Times New Roman" w:hAnsi="Arial" w:cs="Arial"/>
                <w:b/>
                <w:bCs/>
                <w:sz w:val="14"/>
                <w:szCs w:val="14"/>
              </w:rPr>
              <w:t>843.345.826,53</w:t>
            </w:r>
          </w:p>
        </w:tc>
        <w:tc>
          <w:tcPr>
            <w:tcW w:w="0" w:type="auto"/>
            <w:tcBorders>
              <w:top w:val="outset" w:sz="6" w:space="0" w:color="auto"/>
              <w:left w:val="outset" w:sz="6" w:space="0" w:color="auto"/>
              <w:bottom w:val="outset" w:sz="6" w:space="0" w:color="auto"/>
              <w:right w:val="outset" w:sz="6" w:space="0" w:color="auto"/>
            </w:tcBorders>
            <w:vAlign w:val="bottom"/>
            <w:hideMark/>
          </w:tcPr>
          <w:p w14:paraId="42D91C5C" w14:textId="3FE55DC2" w:rsidR="00303CC6" w:rsidRPr="00C01518" w:rsidRDefault="00303CC6" w:rsidP="00303CC6">
            <w:pPr>
              <w:jc w:val="right"/>
              <w:rPr>
                <w:rFonts w:ascii="Arial" w:eastAsia="Times New Roman" w:hAnsi="Arial" w:cs="Arial"/>
                <w:b/>
                <w:bCs/>
                <w:sz w:val="14"/>
                <w:szCs w:val="14"/>
              </w:rPr>
            </w:pPr>
            <w:r w:rsidRPr="00C01518">
              <w:rPr>
                <w:rFonts w:ascii="Arial" w:eastAsia="Times New Roman" w:hAnsi="Arial" w:cs="Arial"/>
                <w:b/>
                <w:bCs/>
                <w:sz w:val="14"/>
                <w:szCs w:val="14"/>
              </w:rPr>
              <w:t>(288.055,61)</w:t>
            </w:r>
          </w:p>
        </w:tc>
        <w:tc>
          <w:tcPr>
            <w:tcW w:w="0" w:type="auto"/>
            <w:tcBorders>
              <w:top w:val="outset" w:sz="6" w:space="0" w:color="auto"/>
              <w:left w:val="outset" w:sz="6" w:space="0" w:color="auto"/>
              <w:bottom w:val="outset" w:sz="6" w:space="0" w:color="auto"/>
              <w:right w:val="outset" w:sz="6" w:space="0" w:color="auto"/>
            </w:tcBorders>
            <w:vAlign w:val="bottom"/>
            <w:hideMark/>
          </w:tcPr>
          <w:p w14:paraId="1E21C48C" w14:textId="14AAC6A8" w:rsidR="00303CC6" w:rsidRPr="00C01518" w:rsidRDefault="00303CC6" w:rsidP="00303CC6">
            <w:pPr>
              <w:jc w:val="right"/>
              <w:rPr>
                <w:rFonts w:ascii="Arial" w:eastAsia="Times New Roman" w:hAnsi="Arial" w:cs="Arial"/>
                <w:b/>
                <w:bCs/>
                <w:sz w:val="14"/>
                <w:szCs w:val="14"/>
              </w:rPr>
            </w:pPr>
            <w:r w:rsidRPr="00C01518">
              <w:rPr>
                <w:rFonts w:ascii="Arial" w:eastAsia="Times New Roman" w:hAnsi="Arial" w:cs="Arial"/>
                <w:b/>
                <w:bCs/>
                <w:sz w:val="14"/>
                <w:szCs w:val="14"/>
              </w:rPr>
              <w:t>843.057.770,92</w:t>
            </w:r>
          </w:p>
        </w:tc>
        <w:tc>
          <w:tcPr>
            <w:tcW w:w="0" w:type="auto"/>
            <w:tcBorders>
              <w:top w:val="outset" w:sz="6" w:space="0" w:color="auto"/>
              <w:left w:val="outset" w:sz="6" w:space="0" w:color="auto"/>
              <w:bottom w:val="outset" w:sz="6" w:space="0" w:color="auto"/>
              <w:right w:val="outset" w:sz="6" w:space="0" w:color="auto"/>
            </w:tcBorders>
            <w:vAlign w:val="bottom"/>
            <w:hideMark/>
          </w:tcPr>
          <w:p w14:paraId="107E0182" w14:textId="77777777" w:rsidR="00303CC6" w:rsidRPr="00C01518" w:rsidRDefault="00303CC6" w:rsidP="00303CC6">
            <w:pPr>
              <w:jc w:val="right"/>
              <w:rPr>
                <w:rFonts w:eastAsia="Times New Roman"/>
                <w:sz w:val="14"/>
                <w:szCs w:val="14"/>
              </w:rPr>
            </w:pPr>
            <w:r w:rsidRPr="00C01518">
              <w:rPr>
                <w:rFonts w:ascii="Arial" w:eastAsia="Times New Roman" w:hAnsi="Arial" w:cs="Arial"/>
                <w:b/>
                <w:bCs/>
                <w:sz w:val="14"/>
                <w:szCs w:val="14"/>
              </w:rPr>
              <w:t> </w:t>
            </w:r>
          </w:p>
        </w:tc>
      </w:tr>
    </w:tbl>
    <w:p w14:paraId="725A2BA1" w14:textId="77777777" w:rsidR="00BA3275" w:rsidRDefault="00000000">
      <w:pPr>
        <w:pStyle w:val="NormalWeb"/>
        <w:jc w:val="both"/>
      </w:pPr>
      <w:r>
        <w:rPr>
          <w:rFonts w:ascii="Arial" w:hAnsi="Arial" w:cs="Arial"/>
          <w:sz w:val="20"/>
          <w:szCs w:val="20"/>
        </w:rPr>
        <w:t>(1) Referem-se às perdas de crédito esperadas e aos ajustes ao valor justo de ativos financeiros reclassificados entre as categorias de mensuração conforme os requerimentos da Resolução CMN n° 4.966/21.</w:t>
      </w:r>
    </w:p>
    <w:p w14:paraId="0848AA6A" w14:textId="77777777" w:rsidR="00BA3275" w:rsidRDefault="00000000">
      <w:pPr>
        <w:pStyle w:val="NormalWeb"/>
      </w:pPr>
      <w:r>
        <w:rPr>
          <w:rFonts w:ascii="Arial" w:hAnsi="Arial" w:cs="Arial"/>
          <w:b/>
          <w:bCs/>
          <w:sz w:val="20"/>
          <w:szCs w:val="20"/>
        </w:rPr>
        <w:t>5. Caixa e Equivalente de Caixa</w:t>
      </w:r>
    </w:p>
    <w:p w14:paraId="66BE5FC6" w14:textId="77777777" w:rsidR="00BA3275" w:rsidRDefault="00000000">
      <w:pPr>
        <w:pStyle w:val="NormalWeb"/>
        <w:jc w:val="both"/>
      </w:pPr>
      <w:r>
        <w:rPr>
          <w:rFonts w:ascii="Arial" w:hAnsi="Arial" w:cs="Arial"/>
          <w:sz w:val="20"/>
          <w:szCs w:val="20"/>
        </w:rPr>
        <w:t>O caixa e os equivalentes de caixa, apresentados na demonstração dos fluxos de caixa, estão constituídos por:</w:t>
      </w:r>
    </w:p>
    <w:tbl>
      <w:tblPr>
        <w:tblW w:w="5000" w:type="pct"/>
        <w:tblCellMar>
          <w:left w:w="0" w:type="dxa"/>
          <w:right w:w="0" w:type="dxa"/>
        </w:tblCellMar>
        <w:tblLook w:val="04A0" w:firstRow="1" w:lastRow="0" w:firstColumn="1" w:lastColumn="0" w:noHBand="0" w:noVBand="1"/>
      </w:tblPr>
      <w:tblGrid>
        <w:gridCol w:w="4873"/>
        <w:gridCol w:w="1862"/>
        <w:gridCol w:w="1503"/>
        <w:gridCol w:w="1384"/>
      </w:tblGrid>
      <w:tr w:rsidR="00BA3275" w14:paraId="65DBB25C" w14:textId="77777777">
        <w:trPr>
          <w:trHeight w:val="150"/>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306D22C5"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5D12692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856689C" w14:textId="77777777" w:rsidR="00BA3275"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5F805CE" w14:textId="77777777" w:rsidR="00BA3275" w:rsidRDefault="00000000">
            <w:pPr>
              <w:jc w:val="center"/>
              <w:rPr>
                <w:rFonts w:eastAsia="Times New Roman"/>
              </w:rPr>
            </w:pPr>
            <w:r>
              <w:rPr>
                <w:rFonts w:ascii="Arial" w:eastAsia="Times New Roman" w:hAnsi="Arial" w:cs="Arial"/>
                <w:b/>
                <w:bCs/>
                <w:sz w:val="16"/>
                <w:szCs w:val="16"/>
              </w:rPr>
              <w:t>Valor contábil bruto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703A791" w14:textId="77777777" w:rsidR="00BA3275" w:rsidRDefault="00000000">
            <w:pPr>
              <w:jc w:val="center"/>
              <w:rPr>
                <w:rFonts w:eastAsia="Times New Roman"/>
              </w:rPr>
            </w:pPr>
            <w:r>
              <w:rPr>
                <w:rFonts w:ascii="Arial" w:eastAsia="Times New Roman" w:hAnsi="Arial" w:cs="Arial"/>
                <w:b/>
                <w:bCs/>
                <w:sz w:val="16"/>
                <w:szCs w:val="16"/>
              </w:rPr>
              <w:t>Perda Esperada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62406FEB" w14:textId="77777777" w:rsidR="00BA3275" w:rsidRDefault="00000000">
            <w:pPr>
              <w:jc w:val="center"/>
              <w:rPr>
                <w:rFonts w:eastAsia="Times New Roman"/>
              </w:rPr>
            </w:pPr>
            <w:r>
              <w:rPr>
                <w:rFonts w:ascii="Arial" w:eastAsia="Times New Roman" w:hAnsi="Arial" w:cs="Arial"/>
                <w:b/>
                <w:bCs/>
                <w:sz w:val="16"/>
                <w:szCs w:val="16"/>
              </w:rPr>
              <w:t>Saldo Líquido</w:t>
            </w:r>
          </w:p>
        </w:tc>
      </w:tr>
      <w:tr w:rsidR="00E7341D" w14:paraId="060BA2D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658F4C1" w14:textId="77777777" w:rsidR="00E7341D" w:rsidRDefault="00E7341D" w:rsidP="00E7341D">
            <w:pPr>
              <w:rPr>
                <w:rFonts w:eastAsia="Times New Roman"/>
              </w:rPr>
            </w:pPr>
            <w:r>
              <w:rPr>
                <w:rFonts w:ascii="Arial" w:eastAsia="Times New Roman" w:hAnsi="Arial" w:cs="Arial"/>
                <w:sz w:val="16"/>
                <w:szCs w:val="16"/>
              </w:rPr>
              <w:t>Disponibilidades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B2660E" w14:textId="77777777" w:rsidR="00E7341D" w:rsidRDefault="00E7341D" w:rsidP="00E7341D">
            <w:pPr>
              <w:jc w:val="right"/>
              <w:rPr>
                <w:rFonts w:eastAsia="Times New Roman"/>
              </w:rPr>
            </w:pPr>
            <w:r>
              <w:rPr>
                <w:rFonts w:ascii="Arial" w:eastAsia="Times New Roman" w:hAnsi="Arial" w:cs="Arial"/>
                <w:sz w:val="16"/>
                <w:szCs w:val="16"/>
              </w:rPr>
              <w:t>7.020.686,36</w:t>
            </w:r>
          </w:p>
        </w:tc>
        <w:tc>
          <w:tcPr>
            <w:tcW w:w="0" w:type="auto"/>
            <w:tcBorders>
              <w:top w:val="outset" w:sz="6" w:space="0" w:color="auto"/>
              <w:left w:val="outset" w:sz="6" w:space="0" w:color="auto"/>
              <w:bottom w:val="outset" w:sz="6" w:space="0" w:color="auto"/>
              <w:right w:val="outset" w:sz="6" w:space="0" w:color="auto"/>
            </w:tcBorders>
            <w:vAlign w:val="center"/>
            <w:hideMark/>
          </w:tcPr>
          <w:p w14:paraId="00020E0B" w14:textId="1B53A7BA" w:rsidR="00E7341D" w:rsidRDefault="00E7341D" w:rsidP="00E7341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E15F23" w14:textId="77777777" w:rsidR="00E7341D" w:rsidRDefault="00E7341D" w:rsidP="00E7341D">
            <w:pPr>
              <w:jc w:val="right"/>
              <w:rPr>
                <w:rFonts w:eastAsia="Times New Roman"/>
              </w:rPr>
            </w:pPr>
            <w:r>
              <w:rPr>
                <w:rFonts w:ascii="Arial" w:eastAsia="Times New Roman" w:hAnsi="Arial" w:cs="Arial"/>
                <w:sz w:val="16"/>
                <w:szCs w:val="16"/>
              </w:rPr>
              <w:t>7.020.686,36</w:t>
            </w:r>
          </w:p>
        </w:tc>
      </w:tr>
      <w:tr w:rsidR="00E7341D" w14:paraId="01F5AFD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EE1C1CA" w14:textId="77777777" w:rsidR="00E7341D" w:rsidRDefault="00E7341D" w:rsidP="00E7341D">
            <w:pPr>
              <w:rPr>
                <w:rFonts w:eastAsia="Times New Roman"/>
              </w:rPr>
            </w:pPr>
            <w:r>
              <w:rPr>
                <w:rFonts w:ascii="Arial" w:eastAsia="Times New Roman" w:hAnsi="Arial" w:cs="Arial"/>
                <w:sz w:val="16"/>
                <w:szCs w:val="16"/>
              </w:rPr>
              <w:t>Relações Interfinanceiras - Centralização Financeira (a)</w:t>
            </w:r>
          </w:p>
        </w:tc>
        <w:tc>
          <w:tcPr>
            <w:tcW w:w="0" w:type="auto"/>
            <w:tcBorders>
              <w:top w:val="outset" w:sz="6" w:space="0" w:color="auto"/>
              <w:left w:val="outset" w:sz="6" w:space="0" w:color="auto"/>
              <w:bottom w:val="outset" w:sz="6" w:space="0" w:color="auto"/>
              <w:right w:val="outset" w:sz="6" w:space="0" w:color="auto"/>
            </w:tcBorders>
            <w:vAlign w:val="center"/>
            <w:hideMark/>
          </w:tcPr>
          <w:p w14:paraId="55D4243E" w14:textId="77777777" w:rsidR="00E7341D" w:rsidRDefault="00E7341D" w:rsidP="00E7341D">
            <w:pPr>
              <w:jc w:val="right"/>
              <w:rPr>
                <w:rFonts w:eastAsia="Times New Roman"/>
              </w:rPr>
            </w:pPr>
            <w:r>
              <w:rPr>
                <w:rFonts w:ascii="Arial" w:eastAsia="Times New Roman" w:hAnsi="Arial" w:cs="Arial"/>
                <w:sz w:val="16"/>
                <w:szCs w:val="16"/>
              </w:rPr>
              <w:t>532.928.335,47</w:t>
            </w:r>
          </w:p>
        </w:tc>
        <w:tc>
          <w:tcPr>
            <w:tcW w:w="0" w:type="auto"/>
            <w:tcBorders>
              <w:top w:val="outset" w:sz="6" w:space="0" w:color="auto"/>
              <w:left w:val="outset" w:sz="6" w:space="0" w:color="auto"/>
              <w:bottom w:val="outset" w:sz="6" w:space="0" w:color="auto"/>
              <w:right w:val="outset" w:sz="6" w:space="0" w:color="auto"/>
            </w:tcBorders>
            <w:vAlign w:val="center"/>
            <w:hideMark/>
          </w:tcPr>
          <w:p w14:paraId="467F51C3" w14:textId="5051D01D" w:rsidR="00E7341D" w:rsidRDefault="00E7341D" w:rsidP="00E7341D">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D708D9E" w14:textId="77777777" w:rsidR="00E7341D" w:rsidRDefault="00E7341D" w:rsidP="00E7341D">
            <w:pPr>
              <w:jc w:val="right"/>
              <w:rPr>
                <w:rFonts w:eastAsia="Times New Roman"/>
              </w:rPr>
            </w:pPr>
            <w:r>
              <w:rPr>
                <w:rFonts w:ascii="Arial" w:eastAsia="Times New Roman" w:hAnsi="Arial" w:cs="Arial"/>
                <w:sz w:val="16"/>
                <w:szCs w:val="16"/>
              </w:rPr>
              <w:t>532.928.335,47</w:t>
            </w:r>
          </w:p>
        </w:tc>
      </w:tr>
      <w:tr w:rsidR="00E7341D" w14:paraId="1C77796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9673227" w14:textId="77777777" w:rsidR="00E7341D" w:rsidRDefault="00E7341D" w:rsidP="00E7341D">
            <w:pPr>
              <w:rPr>
                <w:rFonts w:eastAsia="Times New Roman"/>
              </w:rPr>
            </w:pPr>
            <w:r>
              <w:rPr>
                <w:rFonts w:ascii="Arial" w:eastAsia="Times New Roman" w:hAnsi="Arial" w:cs="Arial"/>
                <w:b/>
                <w:bCs/>
                <w:sz w:val="16"/>
                <w:szCs w:val="16"/>
              </w:rPr>
              <w:t>Saldo Caixa e Equivalente de Caixa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BEFB8" w14:textId="77777777" w:rsidR="00E7341D" w:rsidRDefault="00E7341D" w:rsidP="00E7341D">
            <w:pPr>
              <w:jc w:val="right"/>
              <w:rPr>
                <w:rFonts w:eastAsia="Times New Roman"/>
              </w:rPr>
            </w:pPr>
            <w:r>
              <w:rPr>
                <w:rFonts w:ascii="Arial" w:eastAsia="Times New Roman" w:hAnsi="Arial" w:cs="Arial"/>
                <w:b/>
                <w:bCs/>
                <w:sz w:val="16"/>
                <w:szCs w:val="16"/>
              </w:rPr>
              <w:t>539.949.021,83</w:t>
            </w:r>
          </w:p>
        </w:tc>
        <w:tc>
          <w:tcPr>
            <w:tcW w:w="0" w:type="auto"/>
            <w:tcBorders>
              <w:top w:val="outset" w:sz="6" w:space="0" w:color="auto"/>
              <w:left w:val="outset" w:sz="6" w:space="0" w:color="auto"/>
              <w:bottom w:val="outset" w:sz="6" w:space="0" w:color="auto"/>
              <w:right w:val="outset" w:sz="6" w:space="0" w:color="auto"/>
            </w:tcBorders>
            <w:vAlign w:val="center"/>
            <w:hideMark/>
          </w:tcPr>
          <w:p w14:paraId="5A281F63" w14:textId="27221110" w:rsidR="00E7341D" w:rsidRDefault="00E7341D" w:rsidP="00E7341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905FC" w14:textId="77777777" w:rsidR="00E7341D" w:rsidRDefault="00E7341D" w:rsidP="00E7341D">
            <w:pPr>
              <w:jc w:val="right"/>
              <w:rPr>
                <w:rFonts w:eastAsia="Times New Roman"/>
              </w:rPr>
            </w:pPr>
            <w:r>
              <w:rPr>
                <w:rFonts w:ascii="Arial" w:eastAsia="Times New Roman" w:hAnsi="Arial" w:cs="Arial"/>
                <w:b/>
                <w:bCs/>
                <w:sz w:val="16"/>
                <w:szCs w:val="16"/>
              </w:rPr>
              <w:t>539.949.021,83</w:t>
            </w:r>
          </w:p>
        </w:tc>
      </w:tr>
    </w:tbl>
    <w:p w14:paraId="79651D87" w14:textId="77777777" w:rsidR="00BA3275" w:rsidRDefault="00000000" w:rsidP="00E7341D">
      <w:pPr>
        <w:pStyle w:val="NormalWeb"/>
        <w:jc w:val="both"/>
      </w:pPr>
      <w:r>
        <w:rPr>
          <w:rFonts w:ascii="Arial" w:hAnsi="Arial" w:cs="Arial"/>
          <w:sz w:val="20"/>
          <w:szCs w:val="20"/>
        </w:rPr>
        <w:t>a) Referem-se à centralização financeira das disponibilidades líquidas da Cooperativa, depositadas junto ao SICOOB CENTRAL CREDIMINAS como determinado no art. 3º, da Resolução CMN nº 5.051/2022, alterada pela Resolução CMN nº 5.131/2024, cujos rendimentos auferidos nos períodos de 30 de junho de 2025 registrados em contrapartida à receita de “Ingressos de Depósitos Intercooperativos”, foram respectivamente:</w:t>
      </w:r>
    </w:p>
    <w:tbl>
      <w:tblPr>
        <w:tblW w:w="5000" w:type="pct"/>
        <w:tblCellMar>
          <w:left w:w="0" w:type="dxa"/>
          <w:right w:w="0" w:type="dxa"/>
        </w:tblCellMar>
        <w:tblLook w:val="04A0" w:firstRow="1" w:lastRow="0" w:firstColumn="1" w:lastColumn="0" w:noHBand="0" w:noVBand="1"/>
      </w:tblPr>
      <w:tblGrid>
        <w:gridCol w:w="7144"/>
        <w:gridCol w:w="2478"/>
      </w:tblGrid>
      <w:tr w:rsidR="00BA3275" w14:paraId="2A0325C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72AC957" w14:textId="77777777" w:rsidR="00BA3275"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F7AEDD6"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583B581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5CD00A9" w14:textId="77777777" w:rsidR="00BA3275" w:rsidRDefault="00000000">
            <w:pPr>
              <w:rPr>
                <w:rFonts w:eastAsia="Times New Roman"/>
              </w:rPr>
            </w:pPr>
            <w:r>
              <w:rPr>
                <w:rFonts w:ascii="Arial" w:eastAsia="Times New Roman" w:hAnsi="Arial" w:cs="Arial"/>
                <w:sz w:val="16"/>
                <w:szCs w:val="16"/>
              </w:rPr>
              <w:t>Rendimentos da Centralização Financeira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F242B" w14:textId="77777777" w:rsidR="00BA3275" w:rsidRDefault="00000000">
            <w:pPr>
              <w:jc w:val="right"/>
              <w:rPr>
                <w:rFonts w:eastAsia="Times New Roman"/>
              </w:rPr>
            </w:pPr>
            <w:r>
              <w:rPr>
                <w:rFonts w:ascii="Arial" w:eastAsia="Times New Roman" w:hAnsi="Arial" w:cs="Arial"/>
                <w:sz w:val="16"/>
                <w:szCs w:val="16"/>
              </w:rPr>
              <w:t>32.947.889,40</w:t>
            </w:r>
          </w:p>
        </w:tc>
      </w:tr>
    </w:tbl>
    <w:p w14:paraId="4202153D" w14:textId="77777777" w:rsidR="00BA3275" w:rsidRDefault="00000000">
      <w:pPr>
        <w:pStyle w:val="NormalWeb"/>
      </w:pPr>
      <w:r>
        <w:rPr>
          <w:rFonts w:ascii="Arial" w:hAnsi="Arial" w:cs="Arial"/>
          <w:b/>
          <w:bCs/>
          <w:sz w:val="20"/>
          <w:szCs w:val="20"/>
        </w:rPr>
        <w:t>6. Instrumentos Financeiros</w:t>
      </w:r>
    </w:p>
    <w:p w14:paraId="64F5951B" w14:textId="77777777" w:rsidR="00BA3275" w:rsidRDefault="00000000">
      <w:pPr>
        <w:pStyle w:val="NormalWeb"/>
      </w:pPr>
      <w:r>
        <w:rPr>
          <w:rFonts w:ascii="Arial" w:hAnsi="Arial" w:cs="Arial"/>
          <w:b/>
          <w:bCs/>
          <w:sz w:val="20"/>
          <w:szCs w:val="20"/>
        </w:rPr>
        <w:t>6.1 Ativos Financeiros Mensurados ao Valor Justo por meio do Resultado</w:t>
      </w:r>
    </w:p>
    <w:p w14:paraId="3C6625BE" w14:textId="77777777" w:rsidR="00BA3275" w:rsidRDefault="00000000">
      <w:pPr>
        <w:pStyle w:val="NormalWeb"/>
        <w:jc w:val="both"/>
      </w:pPr>
      <w:r>
        <w:rPr>
          <w:rFonts w:ascii="Arial" w:hAnsi="Arial" w:cs="Arial"/>
          <w:sz w:val="20"/>
          <w:szCs w:val="20"/>
        </w:rPr>
        <w:t>Abaixo, composição dos ativos financeiros mensurados ao valor justo por meio do resultado:</w:t>
      </w:r>
    </w:p>
    <w:tbl>
      <w:tblPr>
        <w:tblW w:w="5000" w:type="pct"/>
        <w:tblCellMar>
          <w:left w:w="0" w:type="dxa"/>
          <w:right w:w="0" w:type="dxa"/>
        </w:tblCellMar>
        <w:tblLook w:val="04A0" w:firstRow="1" w:lastRow="0" w:firstColumn="1" w:lastColumn="0" w:noHBand="0" w:noVBand="1"/>
      </w:tblPr>
      <w:tblGrid>
        <w:gridCol w:w="6072"/>
        <w:gridCol w:w="1124"/>
        <w:gridCol w:w="1293"/>
        <w:gridCol w:w="1133"/>
      </w:tblGrid>
      <w:tr w:rsidR="00BA3275" w14:paraId="0CD7FBD7" w14:textId="77777777">
        <w:trPr>
          <w:trHeight w:val="150"/>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35C2CA4F"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61C825F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4E510FD" w14:textId="77777777" w:rsidR="00BA3275"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2C9A85A" w14:textId="77777777" w:rsidR="00BA3275" w:rsidRDefault="00000000">
            <w:pPr>
              <w:jc w:val="center"/>
              <w:rPr>
                <w:rFonts w:eastAsia="Times New Roman"/>
              </w:rPr>
            </w:pPr>
            <w:r>
              <w:rPr>
                <w:rFonts w:ascii="Arial" w:eastAsia="Times New Roman" w:hAnsi="Arial" w:cs="Arial"/>
                <w:b/>
                <w:bCs/>
                <w:sz w:val="16"/>
                <w:szCs w:val="16"/>
              </w:rPr>
              <w:t>Valor contábil</w:t>
            </w:r>
          </w:p>
        </w:tc>
        <w:tc>
          <w:tcPr>
            <w:tcW w:w="0" w:type="auto"/>
            <w:tcBorders>
              <w:top w:val="outset" w:sz="6" w:space="0" w:color="auto"/>
              <w:left w:val="outset" w:sz="6" w:space="0" w:color="auto"/>
              <w:bottom w:val="outset" w:sz="6" w:space="0" w:color="auto"/>
              <w:right w:val="outset" w:sz="6" w:space="0" w:color="auto"/>
            </w:tcBorders>
            <w:vAlign w:val="center"/>
            <w:hideMark/>
          </w:tcPr>
          <w:p w14:paraId="3D4C7ADC" w14:textId="77777777" w:rsidR="00BA3275" w:rsidRDefault="00000000">
            <w:pPr>
              <w:jc w:val="center"/>
              <w:rPr>
                <w:rFonts w:eastAsia="Times New Roman"/>
              </w:rPr>
            </w:pPr>
            <w:r>
              <w:rPr>
                <w:rFonts w:ascii="Arial" w:eastAsia="Times New Roman" w:hAnsi="Arial" w:cs="Arial"/>
                <w:b/>
                <w:bCs/>
                <w:sz w:val="16"/>
                <w:szCs w:val="16"/>
              </w:rPr>
              <w:t>Perda Esperada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3A120EA2" w14:textId="77777777" w:rsidR="00BA3275" w:rsidRDefault="00000000">
            <w:pPr>
              <w:jc w:val="center"/>
              <w:rPr>
                <w:rFonts w:eastAsia="Times New Roman"/>
              </w:rPr>
            </w:pPr>
            <w:r>
              <w:rPr>
                <w:rFonts w:ascii="Arial" w:eastAsia="Times New Roman" w:hAnsi="Arial" w:cs="Arial"/>
                <w:b/>
                <w:bCs/>
                <w:sz w:val="16"/>
                <w:szCs w:val="16"/>
              </w:rPr>
              <w:t>Saldo Líquido</w:t>
            </w:r>
          </w:p>
        </w:tc>
      </w:tr>
      <w:tr w:rsidR="008B12B1" w14:paraId="781A4AB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665F2D0" w14:textId="77777777" w:rsidR="008B12B1" w:rsidRDefault="008B12B1" w:rsidP="008B12B1">
            <w:pPr>
              <w:rPr>
                <w:rFonts w:eastAsia="Times New Roman"/>
              </w:rPr>
            </w:pPr>
            <w:r>
              <w:rPr>
                <w:rFonts w:ascii="Arial" w:eastAsia="Times New Roman" w:hAnsi="Arial" w:cs="Arial"/>
                <w:b/>
                <w:bCs/>
                <w:sz w:val="16"/>
                <w:szCs w:val="16"/>
              </w:rPr>
              <w:t>Títulos e Valores Mobiliários - VJR</w:t>
            </w:r>
          </w:p>
        </w:tc>
        <w:tc>
          <w:tcPr>
            <w:tcW w:w="0" w:type="auto"/>
            <w:tcBorders>
              <w:top w:val="outset" w:sz="6" w:space="0" w:color="auto"/>
              <w:left w:val="outset" w:sz="6" w:space="0" w:color="auto"/>
              <w:bottom w:val="outset" w:sz="6" w:space="0" w:color="auto"/>
              <w:right w:val="outset" w:sz="6" w:space="0" w:color="auto"/>
            </w:tcBorders>
            <w:vAlign w:val="center"/>
            <w:hideMark/>
          </w:tcPr>
          <w:p w14:paraId="2020ED3B" w14:textId="77777777" w:rsidR="008B12B1" w:rsidRDefault="008B12B1" w:rsidP="008B12B1">
            <w:pPr>
              <w:jc w:val="right"/>
              <w:rPr>
                <w:rFonts w:eastAsia="Times New Roman"/>
              </w:rPr>
            </w:pPr>
            <w:r>
              <w:rPr>
                <w:rFonts w:ascii="Arial" w:eastAsia="Times New Roman" w:hAnsi="Arial" w:cs="Arial"/>
                <w:b/>
                <w:bCs/>
                <w:sz w:val="16"/>
                <w:szCs w:val="16"/>
              </w:rPr>
              <w:t>32.582.097,87</w:t>
            </w:r>
          </w:p>
        </w:tc>
        <w:tc>
          <w:tcPr>
            <w:tcW w:w="0" w:type="auto"/>
            <w:tcBorders>
              <w:top w:val="outset" w:sz="6" w:space="0" w:color="auto"/>
              <w:left w:val="outset" w:sz="6" w:space="0" w:color="auto"/>
              <w:bottom w:val="outset" w:sz="6" w:space="0" w:color="auto"/>
              <w:right w:val="outset" w:sz="6" w:space="0" w:color="auto"/>
            </w:tcBorders>
            <w:vAlign w:val="center"/>
            <w:hideMark/>
          </w:tcPr>
          <w:p w14:paraId="2A39B7D8" w14:textId="52803B4A" w:rsidR="008B12B1" w:rsidRDefault="008B12B1" w:rsidP="008B12B1">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34E90EB" w14:textId="77777777" w:rsidR="008B12B1" w:rsidRDefault="008B12B1" w:rsidP="008B12B1">
            <w:pPr>
              <w:jc w:val="right"/>
              <w:rPr>
                <w:rFonts w:eastAsia="Times New Roman"/>
              </w:rPr>
            </w:pPr>
            <w:r>
              <w:rPr>
                <w:rFonts w:ascii="Arial" w:eastAsia="Times New Roman" w:hAnsi="Arial" w:cs="Arial"/>
                <w:b/>
                <w:bCs/>
                <w:sz w:val="16"/>
                <w:szCs w:val="16"/>
              </w:rPr>
              <w:t>32.582.097,87</w:t>
            </w:r>
          </w:p>
        </w:tc>
      </w:tr>
      <w:tr w:rsidR="008B12B1" w14:paraId="55D9B284" w14:textId="77777777" w:rsidTr="00840B40">
        <w:trPr>
          <w:trHeight w:val="150"/>
        </w:trPr>
        <w:tc>
          <w:tcPr>
            <w:tcW w:w="0" w:type="auto"/>
            <w:tcBorders>
              <w:top w:val="outset" w:sz="6" w:space="0" w:color="auto"/>
              <w:left w:val="outset" w:sz="6" w:space="0" w:color="auto"/>
              <w:bottom w:val="outset" w:sz="6" w:space="0" w:color="auto"/>
              <w:right w:val="outset" w:sz="6" w:space="0" w:color="auto"/>
            </w:tcBorders>
            <w:hideMark/>
          </w:tcPr>
          <w:p w14:paraId="23B1CD17" w14:textId="08E96603" w:rsidR="008B12B1" w:rsidRPr="008B12B1" w:rsidRDefault="008B12B1" w:rsidP="008B12B1">
            <w:pPr>
              <w:rPr>
                <w:rFonts w:ascii="Arial" w:eastAsia="Times New Roman" w:hAnsi="Arial" w:cs="Arial"/>
                <w:sz w:val="16"/>
                <w:szCs w:val="16"/>
              </w:rPr>
            </w:pPr>
            <w:r w:rsidRPr="008B12B1">
              <w:rPr>
                <w:rFonts w:ascii="Arial" w:eastAsia="Times New Roman" w:hAnsi="Arial" w:cs="Arial"/>
                <w:sz w:val="16"/>
                <w:szCs w:val="16"/>
              </w:rPr>
              <w:t>Participação em Cooperativa Central de Crédito (a)</w:t>
            </w:r>
          </w:p>
        </w:tc>
        <w:tc>
          <w:tcPr>
            <w:tcW w:w="0" w:type="auto"/>
            <w:tcBorders>
              <w:top w:val="outset" w:sz="6" w:space="0" w:color="auto"/>
              <w:left w:val="outset" w:sz="6" w:space="0" w:color="auto"/>
              <w:bottom w:val="outset" w:sz="6" w:space="0" w:color="auto"/>
              <w:right w:val="outset" w:sz="6" w:space="0" w:color="auto"/>
            </w:tcBorders>
            <w:vAlign w:val="center"/>
            <w:hideMark/>
          </w:tcPr>
          <w:p w14:paraId="7715BE26" w14:textId="6EB9BC7F" w:rsidR="008B12B1" w:rsidRDefault="008B12B1" w:rsidP="008B12B1">
            <w:pPr>
              <w:jc w:val="right"/>
              <w:rPr>
                <w:rFonts w:eastAsia="Times New Roman"/>
              </w:rPr>
            </w:pPr>
            <w:r w:rsidRPr="008B12B1">
              <w:rPr>
                <w:rFonts w:ascii="Arial" w:eastAsia="Times New Roman" w:hAnsi="Arial" w:cs="Arial"/>
                <w:sz w:val="16"/>
                <w:szCs w:val="16"/>
              </w:rPr>
              <w:t>32.570.045,57</w:t>
            </w:r>
          </w:p>
        </w:tc>
        <w:tc>
          <w:tcPr>
            <w:tcW w:w="0" w:type="auto"/>
            <w:tcBorders>
              <w:top w:val="outset" w:sz="6" w:space="0" w:color="auto"/>
              <w:left w:val="outset" w:sz="6" w:space="0" w:color="auto"/>
              <w:bottom w:val="outset" w:sz="6" w:space="0" w:color="auto"/>
              <w:right w:val="outset" w:sz="6" w:space="0" w:color="auto"/>
            </w:tcBorders>
            <w:vAlign w:val="center"/>
            <w:hideMark/>
          </w:tcPr>
          <w:p w14:paraId="182CACFF" w14:textId="7B4FE47E" w:rsidR="008B12B1" w:rsidRDefault="008B12B1" w:rsidP="008B12B1">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4F5696A" w14:textId="0F9A3B4C" w:rsidR="008B12B1" w:rsidRDefault="008B12B1" w:rsidP="008B12B1">
            <w:pPr>
              <w:jc w:val="right"/>
              <w:rPr>
                <w:rFonts w:eastAsia="Times New Roman"/>
              </w:rPr>
            </w:pPr>
            <w:r w:rsidRPr="008B12B1">
              <w:rPr>
                <w:rFonts w:ascii="Arial" w:eastAsia="Times New Roman" w:hAnsi="Arial" w:cs="Arial"/>
                <w:sz w:val="16"/>
                <w:szCs w:val="16"/>
              </w:rPr>
              <w:t>32.570.045,57</w:t>
            </w:r>
          </w:p>
        </w:tc>
      </w:tr>
      <w:tr w:rsidR="008B12B1" w14:paraId="7112C57F" w14:textId="77777777" w:rsidTr="00840B40">
        <w:trPr>
          <w:trHeight w:val="150"/>
        </w:trPr>
        <w:tc>
          <w:tcPr>
            <w:tcW w:w="0" w:type="auto"/>
            <w:tcBorders>
              <w:top w:val="outset" w:sz="6" w:space="0" w:color="auto"/>
              <w:left w:val="outset" w:sz="6" w:space="0" w:color="auto"/>
              <w:bottom w:val="outset" w:sz="6" w:space="0" w:color="auto"/>
              <w:right w:val="outset" w:sz="6" w:space="0" w:color="auto"/>
            </w:tcBorders>
          </w:tcPr>
          <w:p w14:paraId="0369A002" w14:textId="7CFB3BFB" w:rsidR="008B12B1" w:rsidRDefault="008B12B1" w:rsidP="008B12B1">
            <w:pPr>
              <w:rPr>
                <w:rFonts w:ascii="Arial" w:eastAsia="Times New Roman" w:hAnsi="Arial" w:cs="Arial"/>
                <w:sz w:val="16"/>
                <w:szCs w:val="16"/>
              </w:rPr>
            </w:pPr>
            <w:r w:rsidRPr="008B12B1">
              <w:rPr>
                <w:rFonts w:ascii="Arial" w:eastAsia="Times New Roman" w:hAnsi="Arial" w:cs="Arial"/>
                <w:sz w:val="16"/>
                <w:szCs w:val="16"/>
              </w:rPr>
              <w:t>Participação em Instituição Financeira Controlada por Cooperativa de Crédito (a)</w:t>
            </w:r>
          </w:p>
        </w:tc>
        <w:tc>
          <w:tcPr>
            <w:tcW w:w="0" w:type="auto"/>
            <w:tcBorders>
              <w:top w:val="outset" w:sz="6" w:space="0" w:color="auto"/>
              <w:left w:val="outset" w:sz="6" w:space="0" w:color="auto"/>
              <w:bottom w:val="outset" w:sz="6" w:space="0" w:color="auto"/>
              <w:right w:val="outset" w:sz="6" w:space="0" w:color="auto"/>
            </w:tcBorders>
            <w:vAlign w:val="center"/>
          </w:tcPr>
          <w:p w14:paraId="062C17AA" w14:textId="41DA3C73" w:rsidR="008B12B1" w:rsidRDefault="008B12B1" w:rsidP="008B12B1">
            <w:pPr>
              <w:jc w:val="right"/>
              <w:rPr>
                <w:rFonts w:ascii="Arial" w:eastAsia="Times New Roman" w:hAnsi="Arial" w:cs="Arial"/>
                <w:sz w:val="16"/>
                <w:szCs w:val="16"/>
              </w:rPr>
            </w:pPr>
            <w:r w:rsidRPr="008B12B1">
              <w:rPr>
                <w:rFonts w:ascii="Arial" w:eastAsia="Times New Roman" w:hAnsi="Arial" w:cs="Arial"/>
                <w:sz w:val="16"/>
                <w:szCs w:val="16"/>
              </w:rPr>
              <w:t>12.052,30</w:t>
            </w:r>
          </w:p>
        </w:tc>
        <w:tc>
          <w:tcPr>
            <w:tcW w:w="0" w:type="auto"/>
            <w:tcBorders>
              <w:top w:val="outset" w:sz="6" w:space="0" w:color="auto"/>
              <w:left w:val="outset" w:sz="6" w:space="0" w:color="auto"/>
              <w:bottom w:val="outset" w:sz="6" w:space="0" w:color="auto"/>
              <w:right w:val="outset" w:sz="6" w:space="0" w:color="auto"/>
            </w:tcBorders>
            <w:vAlign w:val="center"/>
          </w:tcPr>
          <w:p w14:paraId="64948B4E" w14:textId="42FDA724" w:rsidR="008B12B1" w:rsidRDefault="008B12B1" w:rsidP="008B12B1">
            <w:pPr>
              <w:jc w:val="right"/>
              <w:rPr>
                <w:rFonts w:ascii="Arial" w:eastAsia="Times New Roman" w:hAnsi="Arial" w:cs="Arial"/>
                <w:sz w:val="16"/>
                <w:szCs w:val="16"/>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tcPr>
          <w:p w14:paraId="31B1122B" w14:textId="3F61BA67" w:rsidR="008B12B1" w:rsidRDefault="008B12B1" w:rsidP="008B12B1">
            <w:pPr>
              <w:jc w:val="right"/>
              <w:rPr>
                <w:rFonts w:ascii="Arial" w:eastAsia="Times New Roman" w:hAnsi="Arial" w:cs="Arial"/>
                <w:sz w:val="16"/>
                <w:szCs w:val="16"/>
              </w:rPr>
            </w:pPr>
            <w:r w:rsidRPr="008B12B1">
              <w:rPr>
                <w:rFonts w:ascii="Arial" w:eastAsia="Times New Roman" w:hAnsi="Arial" w:cs="Arial"/>
                <w:sz w:val="16"/>
                <w:szCs w:val="16"/>
              </w:rPr>
              <w:t>12.052,30</w:t>
            </w:r>
          </w:p>
        </w:tc>
      </w:tr>
    </w:tbl>
    <w:p w14:paraId="3DC3AB17" w14:textId="77777777" w:rsidR="00BA3275" w:rsidRDefault="00000000">
      <w:pPr>
        <w:pStyle w:val="NormalWeb"/>
        <w:jc w:val="both"/>
      </w:pPr>
      <w:r>
        <w:rPr>
          <w:rFonts w:ascii="Arial" w:hAnsi="Arial" w:cs="Arial"/>
          <w:sz w:val="20"/>
          <w:szCs w:val="20"/>
        </w:rPr>
        <w:t>Os ativos financeiros demonstrados na tabela acima, estão classificados a valor justo por meio do resultado em decorrência de falharem no teste de SPPJ.</w:t>
      </w:r>
    </w:p>
    <w:p w14:paraId="16875B9D" w14:textId="77777777" w:rsidR="00BA3275" w:rsidRDefault="00000000">
      <w:pPr>
        <w:pStyle w:val="NormalWeb"/>
        <w:jc w:val="both"/>
      </w:pPr>
      <w:r>
        <w:rPr>
          <w:rFonts w:ascii="Arial" w:hAnsi="Arial" w:cs="Arial"/>
          <w:sz w:val="20"/>
          <w:szCs w:val="20"/>
        </w:rPr>
        <w:t>a) Referem-se a saldos de participações de cooperativas em entidades avaliadas pelo custo de aquisição que compõe o saldo do grupo de Títulos e Valores Mobiliários (TVM), conforme estabelecido na Resolução CMN n° 4.817/2020 e na Instrução Normativa BCB nº 269 de 01/04/2022.</w:t>
      </w:r>
    </w:p>
    <w:p w14:paraId="61D249BC" w14:textId="77777777" w:rsidR="00BA3275" w:rsidRDefault="00000000">
      <w:pPr>
        <w:pStyle w:val="NormalWeb"/>
        <w:jc w:val="both"/>
      </w:pPr>
      <w:r>
        <w:rPr>
          <w:rFonts w:ascii="Arial" w:hAnsi="Arial" w:cs="Arial"/>
          <w:sz w:val="20"/>
          <w:szCs w:val="20"/>
        </w:rPr>
        <w:t>Na Demonstração dos Fluxos de Caixa - DFC a apresentação das variações desses ativos foi mantida no fluxo das “Atividades de Investimento”, tendo em vista que a reclassificação realizada pelo Banco central do Brasil não alterou a essência dessas participações, que permanecem sendo ativos de longo prazo conforme item 16.a do CPC 03 (R2) - Demonstração dos Fluxos de Caixa.</w:t>
      </w:r>
    </w:p>
    <w:p w14:paraId="5B6397DF" w14:textId="77777777" w:rsidR="00BA3275" w:rsidRDefault="00000000">
      <w:pPr>
        <w:pStyle w:val="NormalWeb"/>
      </w:pPr>
      <w:r>
        <w:rPr>
          <w:rFonts w:ascii="Arial" w:hAnsi="Arial" w:cs="Arial"/>
          <w:b/>
          <w:bCs/>
          <w:sz w:val="20"/>
          <w:szCs w:val="20"/>
        </w:rPr>
        <w:t>6.2 Composição dos Ativos Financeiros por Faixa de Vencimento</w:t>
      </w:r>
    </w:p>
    <w:tbl>
      <w:tblPr>
        <w:tblW w:w="5000" w:type="pct"/>
        <w:tblCellMar>
          <w:left w:w="0" w:type="dxa"/>
          <w:right w:w="0" w:type="dxa"/>
        </w:tblCellMar>
        <w:tblLook w:val="04A0" w:firstRow="1" w:lastRow="0" w:firstColumn="1" w:lastColumn="0" w:noHBand="0" w:noVBand="1"/>
      </w:tblPr>
      <w:tblGrid>
        <w:gridCol w:w="1287"/>
        <w:gridCol w:w="1195"/>
        <w:gridCol w:w="2136"/>
        <w:gridCol w:w="2502"/>
        <w:gridCol w:w="2502"/>
      </w:tblGrid>
      <w:tr w:rsidR="00BA3275" w14:paraId="41BCA03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EE66711" w14:textId="77777777" w:rsidR="00BA3275" w:rsidRDefault="00000000">
            <w:pPr>
              <w:jc w:val="center"/>
              <w:rPr>
                <w:rFonts w:eastAsia="Times New Roman"/>
              </w:rPr>
            </w:pPr>
            <w:r>
              <w:rPr>
                <w:rFonts w:ascii="Arial" w:eastAsia="Times New Roman" w:hAnsi="Arial" w:cs="Arial"/>
                <w:b/>
                <w:bCs/>
                <w:sz w:val="16"/>
                <w:szCs w:val="16"/>
              </w:rPr>
              <w:t>Tipo</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CD596" w14:textId="77777777" w:rsidR="00BA3275" w:rsidRDefault="00000000">
            <w:pPr>
              <w:jc w:val="center"/>
              <w:rPr>
                <w:rFonts w:eastAsia="Times New Roman"/>
              </w:rPr>
            </w:pPr>
            <w:r>
              <w:rPr>
                <w:rFonts w:ascii="Arial" w:eastAsia="Times New Roman" w:hAnsi="Arial" w:cs="Arial"/>
                <w:b/>
                <w:bCs/>
                <w:sz w:val="16"/>
                <w:szCs w:val="16"/>
              </w:rPr>
              <w:t>Até 90</w:t>
            </w:r>
          </w:p>
        </w:tc>
        <w:tc>
          <w:tcPr>
            <w:tcW w:w="0" w:type="auto"/>
            <w:tcBorders>
              <w:top w:val="outset" w:sz="6" w:space="0" w:color="auto"/>
              <w:left w:val="outset" w:sz="6" w:space="0" w:color="auto"/>
              <w:bottom w:val="outset" w:sz="6" w:space="0" w:color="auto"/>
              <w:right w:val="outset" w:sz="6" w:space="0" w:color="auto"/>
            </w:tcBorders>
            <w:vAlign w:val="center"/>
            <w:hideMark/>
          </w:tcPr>
          <w:p w14:paraId="7F6AB03C" w14:textId="77777777" w:rsidR="00BA3275" w:rsidRDefault="00000000">
            <w:pPr>
              <w:jc w:val="center"/>
              <w:rPr>
                <w:rFonts w:eastAsia="Times New Roman"/>
              </w:rPr>
            </w:pPr>
            <w:r>
              <w:rPr>
                <w:rFonts w:ascii="Arial" w:eastAsia="Times New Roman" w:hAnsi="Arial" w:cs="Arial"/>
                <w:b/>
                <w:bCs/>
                <w:sz w:val="16"/>
                <w:szCs w:val="16"/>
              </w:rPr>
              <w:t>De 91 a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AF7D858" w14:textId="77777777" w:rsidR="00BA3275" w:rsidRDefault="00000000">
            <w:pPr>
              <w:jc w:val="center"/>
              <w:rPr>
                <w:rFonts w:eastAsia="Times New Roman"/>
              </w:rPr>
            </w:pPr>
            <w:r>
              <w:rPr>
                <w:rFonts w:ascii="Arial" w:eastAsia="Times New Roman" w:hAnsi="Arial" w:cs="Arial"/>
                <w:b/>
                <w:bCs/>
                <w:sz w:val="16"/>
                <w:szCs w:val="16"/>
              </w:rPr>
              <w:t>Acima de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51338D32"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080760B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C5B2AC7" w14:textId="77777777" w:rsidR="00BA3275" w:rsidRDefault="00000000">
            <w:pPr>
              <w:rPr>
                <w:rFonts w:eastAsia="Times New Roman"/>
              </w:rPr>
            </w:pPr>
            <w:r>
              <w:rPr>
                <w:rFonts w:ascii="Arial" w:eastAsia="Times New Roman" w:hAnsi="Arial" w:cs="Arial"/>
                <w:sz w:val="16"/>
                <w:szCs w:val="16"/>
              </w:rPr>
              <w:t>Livres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0851B77" w14:textId="77777777" w:rsidR="00BA3275" w:rsidRDefault="00000000" w:rsidP="008B12B1">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D7B71C9" w14:textId="77777777" w:rsidR="00BA3275" w:rsidRDefault="00000000" w:rsidP="008B12B1">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3C8DF6C" w14:textId="77777777" w:rsidR="00BA3275" w:rsidRDefault="00000000" w:rsidP="008B12B1">
            <w:pPr>
              <w:jc w:val="right"/>
              <w:rPr>
                <w:rFonts w:eastAsia="Times New Roman"/>
              </w:rPr>
            </w:pPr>
            <w:r>
              <w:rPr>
                <w:rFonts w:ascii="Arial" w:eastAsia="Times New Roman" w:hAnsi="Arial" w:cs="Arial"/>
                <w:sz w:val="16"/>
                <w:szCs w:val="16"/>
              </w:rPr>
              <w:t>32.582.097,87</w:t>
            </w:r>
          </w:p>
        </w:tc>
        <w:tc>
          <w:tcPr>
            <w:tcW w:w="0" w:type="auto"/>
            <w:tcBorders>
              <w:top w:val="outset" w:sz="6" w:space="0" w:color="auto"/>
              <w:left w:val="outset" w:sz="6" w:space="0" w:color="auto"/>
              <w:bottom w:val="outset" w:sz="6" w:space="0" w:color="auto"/>
              <w:right w:val="outset" w:sz="6" w:space="0" w:color="auto"/>
            </w:tcBorders>
            <w:vAlign w:val="center"/>
            <w:hideMark/>
          </w:tcPr>
          <w:p w14:paraId="6C2FFCEF" w14:textId="77777777" w:rsidR="00BA3275" w:rsidRDefault="00000000" w:rsidP="008B12B1">
            <w:pPr>
              <w:jc w:val="right"/>
              <w:rPr>
                <w:rFonts w:eastAsia="Times New Roman"/>
              </w:rPr>
            </w:pPr>
            <w:r>
              <w:rPr>
                <w:rFonts w:ascii="Arial" w:eastAsia="Times New Roman" w:hAnsi="Arial" w:cs="Arial"/>
                <w:sz w:val="16"/>
                <w:szCs w:val="16"/>
              </w:rPr>
              <w:t>32.582.097,87</w:t>
            </w:r>
          </w:p>
        </w:tc>
      </w:tr>
      <w:tr w:rsidR="00BA3275" w14:paraId="67BC957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E1580E1" w14:textId="77777777" w:rsidR="00BA3275"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E0703" w14:textId="77777777" w:rsidR="00BA3275" w:rsidRDefault="00000000" w:rsidP="008B12B1">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5FDEAC" w14:textId="77777777" w:rsidR="00BA3275" w:rsidRDefault="00000000" w:rsidP="008B12B1">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E4B7F" w14:textId="77777777" w:rsidR="00BA3275" w:rsidRDefault="00000000" w:rsidP="008B12B1">
            <w:pPr>
              <w:jc w:val="right"/>
              <w:rPr>
                <w:rFonts w:eastAsia="Times New Roman"/>
              </w:rPr>
            </w:pPr>
            <w:r>
              <w:rPr>
                <w:rFonts w:ascii="Arial" w:eastAsia="Times New Roman" w:hAnsi="Arial" w:cs="Arial"/>
                <w:b/>
                <w:bCs/>
                <w:sz w:val="16"/>
                <w:szCs w:val="16"/>
              </w:rPr>
              <w:t>32.582.097,87</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306E7" w14:textId="77777777" w:rsidR="00BA3275" w:rsidRDefault="00000000" w:rsidP="008B12B1">
            <w:pPr>
              <w:jc w:val="right"/>
              <w:rPr>
                <w:rFonts w:eastAsia="Times New Roman"/>
              </w:rPr>
            </w:pPr>
            <w:r>
              <w:rPr>
                <w:rFonts w:ascii="Arial" w:eastAsia="Times New Roman" w:hAnsi="Arial" w:cs="Arial"/>
                <w:b/>
                <w:bCs/>
                <w:sz w:val="16"/>
                <w:szCs w:val="16"/>
              </w:rPr>
              <w:t>32.582.097,87</w:t>
            </w:r>
          </w:p>
        </w:tc>
      </w:tr>
    </w:tbl>
    <w:p w14:paraId="0B6129EC" w14:textId="77777777" w:rsidR="00BA3275" w:rsidRDefault="00000000">
      <w:pPr>
        <w:pStyle w:val="NormalWeb"/>
      </w:pPr>
      <w:r>
        <w:rPr>
          <w:rFonts w:ascii="Arial" w:hAnsi="Arial" w:cs="Arial"/>
          <w:b/>
          <w:bCs/>
          <w:sz w:val="20"/>
          <w:szCs w:val="20"/>
        </w:rPr>
        <w:lastRenderedPageBreak/>
        <w:t>6.3 Resumo da Carteira Consolidada por Categoria de Mensuração</w:t>
      </w:r>
    </w:p>
    <w:tbl>
      <w:tblPr>
        <w:tblW w:w="5000" w:type="pct"/>
        <w:tblCellMar>
          <w:left w:w="0" w:type="dxa"/>
          <w:right w:w="0" w:type="dxa"/>
        </w:tblCellMar>
        <w:tblLook w:val="04A0" w:firstRow="1" w:lastRow="0" w:firstColumn="1" w:lastColumn="0" w:noHBand="0" w:noVBand="1"/>
      </w:tblPr>
      <w:tblGrid>
        <w:gridCol w:w="4386"/>
        <w:gridCol w:w="1658"/>
        <w:gridCol w:w="1907"/>
        <w:gridCol w:w="1671"/>
      </w:tblGrid>
      <w:tr w:rsidR="00BA3275" w14:paraId="62F22102" w14:textId="77777777">
        <w:trPr>
          <w:trHeight w:val="150"/>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29920C64"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152F011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DE92AE8" w14:textId="77777777" w:rsidR="00BA3275"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51FF6AC" w14:textId="77777777" w:rsidR="00BA3275" w:rsidRDefault="00000000">
            <w:pPr>
              <w:jc w:val="center"/>
              <w:rPr>
                <w:rFonts w:eastAsia="Times New Roman"/>
              </w:rPr>
            </w:pPr>
            <w:r>
              <w:rPr>
                <w:rFonts w:ascii="Arial" w:eastAsia="Times New Roman" w:hAnsi="Arial" w:cs="Arial"/>
                <w:b/>
                <w:bCs/>
                <w:sz w:val="16"/>
                <w:szCs w:val="16"/>
              </w:rPr>
              <w:t>Valor contábil</w:t>
            </w:r>
          </w:p>
        </w:tc>
        <w:tc>
          <w:tcPr>
            <w:tcW w:w="0" w:type="auto"/>
            <w:tcBorders>
              <w:top w:val="outset" w:sz="6" w:space="0" w:color="auto"/>
              <w:left w:val="outset" w:sz="6" w:space="0" w:color="auto"/>
              <w:bottom w:val="outset" w:sz="6" w:space="0" w:color="auto"/>
              <w:right w:val="outset" w:sz="6" w:space="0" w:color="auto"/>
            </w:tcBorders>
            <w:vAlign w:val="center"/>
            <w:hideMark/>
          </w:tcPr>
          <w:p w14:paraId="66471001" w14:textId="77777777" w:rsidR="00BA3275" w:rsidRDefault="00000000">
            <w:pPr>
              <w:jc w:val="center"/>
              <w:rPr>
                <w:rFonts w:eastAsia="Times New Roman"/>
              </w:rPr>
            </w:pPr>
            <w:r>
              <w:rPr>
                <w:rFonts w:ascii="Arial" w:eastAsia="Times New Roman" w:hAnsi="Arial" w:cs="Arial"/>
                <w:b/>
                <w:bCs/>
                <w:sz w:val="16"/>
                <w:szCs w:val="16"/>
              </w:rPr>
              <w:t>Perda Esperada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4F3DE961" w14:textId="77777777" w:rsidR="00BA3275" w:rsidRDefault="00000000">
            <w:pPr>
              <w:jc w:val="center"/>
              <w:rPr>
                <w:rFonts w:eastAsia="Times New Roman"/>
              </w:rPr>
            </w:pPr>
            <w:r>
              <w:rPr>
                <w:rFonts w:ascii="Arial" w:eastAsia="Times New Roman" w:hAnsi="Arial" w:cs="Arial"/>
                <w:b/>
                <w:bCs/>
                <w:sz w:val="16"/>
                <w:szCs w:val="16"/>
              </w:rPr>
              <w:t>Saldo Líquido</w:t>
            </w:r>
          </w:p>
        </w:tc>
      </w:tr>
      <w:tr w:rsidR="00BA3275" w14:paraId="4846D13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74A64F7" w14:textId="77777777" w:rsidR="00BA3275" w:rsidRDefault="00000000">
            <w:pPr>
              <w:rPr>
                <w:rFonts w:eastAsia="Times New Roman"/>
              </w:rPr>
            </w:pPr>
            <w:r>
              <w:rPr>
                <w:rFonts w:ascii="Arial" w:eastAsia="Times New Roman" w:hAnsi="Arial" w:cs="Arial"/>
                <w:sz w:val="16"/>
                <w:szCs w:val="16"/>
              </w:rPr>
              <w:t>Ativos Financeiros Mensurados ao VJR</w:t>
            </w:r>
          </w:p>
        </w:tc>
        <w:tc>
          <w:tcPr>
            <w:tcW w:w="0" w:type="auto"/>
            <w:tcBorders>
              <w:top w:val="outset" w:sz="6" w:space="0" w:color="auto"/>
              <w:left w:val="outset" w:sz="6" w:space="0" w:color="auto"/>
              <w:bottom w:val="outset" w:sz="6" w:space="0" w:color="auto"/>
              <w:right w:val="outset" w:sz="6" w:space="0" w:color="auto"/>
            </w:tcBorders>
            <w:vAlign w:val="center"/>
            <w:hideMark/>
          </w:tcPr>
          <w:p w14:paraId="0C1030C0" w14:textId="77777777" w:rsidR="00BA3275" w:rsidRDefault="00000000">
            <w:pPr>
              <w:jc w:val="right"/>
              <w:rPr>
                <w:rFonts w:eastAsia="Times New Roman"/>
              </w:rPr>
            </w:pPr>
            <w:r>
              <w:rPr>
                <w:rFonts w:ascii="Arial" w:eastAsia="Times New Roman" w:hAnsi="Arial" w:cs="Arial"/>
                <w:sz w:val="16"/>
                <w:szCs w:val="16"/>
              </w:rPr>
              <w:t>32.582.097,87</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AE122" w14:textId="77777777" w:rsidR="00BA3275" w:rsidRDefault="00000000" w:rsidP="008B12B1">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C0BB5B5" w14:textId="77777777" w:rsidR="00BA3275" w:rsidRDefault="00000000">
            <w:pPr>
              <w:jc w:val="right"/>
              <w:rPr>
                <w:rFonts w:eastAsia="Times New Roman"/>
              </w:rPr>
            </w:pPr>
            <w:r>
              <w:rPr>
                <w:rFonts w:ascii="Arial" w:eastAsia="Times New Roman" w:hAnsi="Arial" w:cs="Arial"/>
                <w:sz w:val="16"/>
                <w:szCs w:val="16"/>
              </w:rPr>
              <w:t>32.582.097,87</w:t>
            </w:r>
          </w:p>
        </w:tc>
      </w:tr>
    </w:tbl>
    <w:p w14:paraId="13983133" w14:textId="77777777" w:rsidR="00BA3275" w:rsidRDefault="00000000">
      <w:pPr>
        <w:pStyle w:val="NormalWeb"/>
      </w:pPr>
      <w:r>
        <w:rPr>
          <w:rFonts w:ascii="Arial" w:hAnsi="Arial" w:cs="Arial"/>
          <w:b/>
          <w:bCs/>
          <w:sz w:val="20"/>
          <w:szCs w:val="20"/>
        </w:rPr>
        <w:t xml:space="preserve">6.4 Reclassificação de Modelos de Negócios </w:t>
      </w:r>
    </w:p>
    <w:p w14:paraId="50A43DCE" w14:textId="6E20B0BC" w:rsidR="00BA3275" w:rsidRDefault="00000000">
      <w:pPr>
        <w:pStyle w:val="NormalWeb"/>
        <w:jc w:val="both"/>
      </w:pPr>
      <w:r>
        <w:rPr>
          <w:rFonts w:ascii="Arial" w:hAnsi="Arial" w:cs="Arial"/>
          <w:sz w:val="20"/>
          <w:szCs w:val="20"/>
        </w:rPr>
        <w:t xml:space="preserve">Em 1º de janeiro de 2025 foram reclassificadas para o grupo de “Outros Créditos” as operações de Cédula de Produto Rural (CPR) que até 31 de dezembro de 2024, estavam classificadas como “Títulos e Valores Mobiliários”. O saldo reclassificado foi R$ </w:t>
      </w:r>
      <w:r w:rsidR="00611020" w:rsidRPr="00611020">
        <w:rPr>
          <w:rFonts w:ascii="Arial" w:hAnsi="Arial" w:cs="Arial"/>
          <w:sz w:val="20"/>
          <w:szCs w:val="20"/>
        </w:rPr>
        <w:t>64.158.922,32</w:t>
      </w:r>
      <w:r>
        <w:rPr>
          <w:rFonts w:ascii="Arial" w:hAnsi="Arial" w:cs="Arial"/>
          <w:sz w:val="20"/>
          <w:szCs w:val="20"/>
        </w:rPr>
        <w:t>, sem alteração de classificação/mensuração destes ativos, conforme evidenciado na nota 4 b.</w:t>
      </w:r>
    </w:p>
    <w:p w14:paraId="638C17DF" w14:textId="242170B0" w:rsidR="00BA3275" w:rsidRDefault="00000000">
      <w:pPr>
        <w:pStyle w:val="NormalWeb"/>
      </w:pPr>
      <w:r>
        <w:rPr>
          <w:rFonts w:ascii="Arial" w:hAnsi="Arial" w:cs="Arial"/>
          <w:b/>
          <w:bCs/>
          <w:sz w:val="20"/>
          <w:szCs w:val="20"/>
        </w:rPr>
        <w:t>6.</w:t>
      </w:r>
      <w:r w:rsidR="00991889">
        <w:rPr>
          <w:rFonts w:ascii="Arial" w:hAnsi="Arial" w:cs="Arial"/>
          <w:b/>
          <w:bCs/>
          <w:sz w:val="20"/>
          <w:szCs w:val="20"/>
        </w:rPr>
        <w:t>5</w:t>
      </w:r>
      <w:r>
        <w:rPr>
          <w:rFonts w:ascii="Arial" w:hAnsi="Arial" w:cs="Arial"/>
          <w:b/>
          <w:bCs/>
          <w:sz w:val="20"/>
          <w:szCs w:val="20"/>
        </w:rPr>
        <w:t xml:space="preserve"> Composição da Carteira de Crédito Mensurados ao Custo Amortizado </w:t>
      </w:r>
    </w:p>
    <w:p w14:paraId="107CA8FF" w14:textId="77777777" w:rsidR="00BA3275" w:rsidRDefault="00000000">
      <w:pPr>
        <w:pStyle w:val="NormalWeb"/>
      </w:pPr>
      <w:r>
        <w:rPr>
          <w:rFonts w:ascii="Arial" w:hAnsi="Arial" w:cs="Arial"/>
          <w:sz w:val="20"/>
          <w:szCs w:val="20"/>
        </w:rPr>
        <w:t>Abaixo, a composição da carteira de crédito mensurados ao custo amortizado:</w:t>
      </w:r>
    </w:p>
    <w:tbl>
      <w:tblPr>
        <w:tblW w:w="5000" w:type="pct"/>
        <w:tblCellMar>
          <w:left w:w="0" w:type="dxa"/>
          <w:right w:w="0" w:type="dxa"/>
        </w:tblCellMar>
        <w:tblLook w:val="04A0" w:firstRow="1" w:lastRow="0" w:firstColumn="1" w:lastColumn="0" w:noHBand="0" w:noVBand="1"/>
      </w:tblPr>
      <w:tblGrid>
        <w:gridCol w:w="6147"/>
        <w:gridCol w:w="1128"/>
        <w:gridCol w:w="1219"/>
        <w:gridCol w:w="1128"/>
      </w:tblGrid>
      <w:tr w:rsidR="00BA3275" w14:paraId="5CE677B3" w14:textId="77777777">
        <w:trPr>
          <w:trHeight w:val="150"/>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196BF018"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45F5F8E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08AE399" w14:textId="77777777" w:rsidR="00BA3275"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B4A28B1" w14:textId="77777777" w:rsidR="00BA3275" w:rsidRDefault="00000000">
            <w:pPr>
              <w:jc w:val="center"/>
              <w:rPr>
                <w:rFonts w:eastAsia="Times New Roman"/>
              </w:rPr>
            </w:pPr>
            <w:r>
              <w:rPr>
                <w:rFonts w:ascii="Arial" w:eastAsia="Times New Roman" w:hAnsi="Arial" w:cs="Arial"/>
                <w:b/>
                <w:bCs/>
                <w:sz w:val="16"/>
                <w:szCs w:val="16"/>
              </w:rPr>
              <w:t>Valor Contábil</w:t>
            </w:r>
          </w:p>
        </w:tc>
        <w:tc>
          <w:tcPr>
            <w:tcW w:w="0" w:type="auto"/>
            <w:tcBorders>
              <w:top w:val="outset" w:sz="6" w:space="0" w:color="auto"/>
              <w:left w:val="outset" w:sz="6" w:space="0" w:color="auto"/>
              <w:bottom w:val="outset" w:sz="6" w:space="0" w:color="auto"/>
              <w:right w:val="outset" w:sz="6" w:space="0" w:color="auto"/>
            </w:tcBorders>
            <w:vAlign w:val="center"/>
            <w:hideMark/>
          </w:tcPr>
          <w:p w14:paraId="2707EC6A" w14:textId="77777777" w:rsidR="00BA3275" w:rsidRDefault="00000000">
            <w:pPr>
              <w:jc w:val="center"/>
              <w:rPr>
                <w:rFonts w:eastAsia="Times New Roman"/>
              </w:rPr>
            </w:pPr>
            <w:r>
              <w:rPr>
                <w:rFonts w:ascii="Arial" w:eastAsia="Times New Roman" w:hAnsi="Arial" w:cs="Arial"/>
                <w:b/>
                <w:bCs/>
                <w:sz w:val="16"/>
                <w:szCs w:val="16"/>
              </w:rPr>
              <w:t>Perda Esperada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76055760" w14:textId="77777777" w:rsidR="00BA3275" w:rsidRDefault="00000000">
            <w:pPr>
              <w:jc w:val="center"/>
              <w:rPr>
                <w:rFonts w:eastAsia="Times New Roman"/>
              </w:rPr>
            </w:pPr>
            <w:r>
              <w:rPr>
                <w:rFonts w:ascii="Arial" w:eastAsia="Times New Roman" w:hAnsi="Arial" w:cs="Arial"/>
                <w:b/>
                <w:bCs/>
                <w:sz w:val="16"/>
                <w:szCs w:val="16"/>
              </w:rPr>
              <w:t>Saldo Líquido</w:t>
            </w:r>
          </w:p>
        </w:tc>
      </w:tr>
      <w:tr w:rsidR="00BA3275" w14:paraId="17F883B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85AC004" w14:textId="77777777" w:rsidR="00BA3275" w:rsidRDefault="00000000">
            <w:pPr>
              <w:rPr>
                <w:rFonts w:eastAsia="Times New Roman"/>
              </w:rPr>
            </w:pPr>
            <w:r>
              <w:rPr>
                <w:rFonts w:ascii="Arial" w:eastAsia="Times New Roman" w:hAnsi="Arial" w:cs="Arial"/>
                <w:b/>
                <w:bCs/>
                <w:sz w:val="16"/>
                <w:szCs w:val="16"/>
              </w:rPr>
              <w:t>Operações de Crédito - Custo Amortizado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1C8503DD" w14:textId="77777777" w:rsidR="00BA3275" w:rsidRDefault="00000000">
            <w:pPr>
              <w:jc w:val="right"/>
              <w:rPr>
                <w:rFonts w:eastAsia="Times New Roman"/>
              </w:rPr>
            </w:pPr>
            <w:r>
              <w:rPr>
                <w:rFonts w:ascii="Arial" w:eastAsia="Times New Roman"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F207C8" w14:textId="77777777" w:rsidR="00BA3275" w:rsidRDefault="00000000">
            <w:pPr>
              <w:jc w:val="right"/>
              <w:rPr>
                <w:rFonts w:eastAsia="Times New Roman"/>
              </w:rPr>
            </w:pPr>
            <w:r>
              <w:rPr>
                <w:rFonts w:ascii="Arial" w:eastAsia="Times New Roman"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215CF9" w14:textId="77777777" w:rsidR="00BA3275" w:rsidRDefault="00000000">
            <w:pPr>
              <w:jc w:val="right"/>
              <w:rPr>
                <w:rFonts w:eastAsia="Times New Roman"/>
              </w:rPr>
            </w:pPr>
            <w:r>
              <w:rPr>
                <w:rFonts w:ascii="Arial" w:eastAsia="Times New Roman" w:hAnsi="Arial" w:cs="Arial"/>
                <w:b/>
                <w:bCs/>
                <w:sz w:val="16"/>
                <w:szCs w:val="16"/>
              </w:rPr>
              <w:t> </w:t>
            </w:r>
          </w:p>
        </w:tc>
      </w:tr>
      <w:tr w:rsidR="00BA3275" w14:paraId="6D76189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3E1D35B" w14:textId="77777777" w:rsidR="00BA3275" w:rsidRDefault="00000000">
            <w:pPr>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7615A8" w14:textId="77777777" w:rsidR="00BA3275" w:rsidRDefault="00000000">
            <w:pPr>
              <w:jc w:val="right"/>
              <w:rPr>
                <w:rFonts w:eastAsia="Times New Roman"/>
              </w:rPr>
            </w:pPr>
            <w:r>
              <w:rPr>
                <w:rFonts w:ascii="Arial" w:eastAsia="Times New Roman" w:hAnsi="Arial" w:cs="Arial"/>
                <w:sz w:val="16"/>
                <w:szCs w:val="16"/>
              </w:rPr>
              <w:t>118.367.034,78</w:t>
            </w:r>
          </w:p>
        </w:tc>
        <w:tc>
          <w:tcPr>
            <w:tcW w:w="0" w:type="auto"/>
            <w:tcBorders>
              <w:top w:val="outset" w:sz="6" w:space="0" w:color="auto"/>
              <w:left w:val="outset" w:sz="6" w:space="0" w:color="auto"/>
              <w:bottom w:val="outset" w:sz="6" w:space="0" w:color="auto"/>
              <w:right w:val="outset" w:sz="6" w:space="0" w:color="auto"/>
            </w:tcBorders>
            <w:vAlign w:val="center"/>
            <w:hideMark/>
          </w:tcPr>
          <w:p w14:paraId="4229D8CC" w14:textId="77777777" w:rsidR="00BA3275" w:rsidRDefault="00000000">
            <w:pPr>
              <w:jc w:val="right"/>
              <w:rPr>
                <w:rFonts w:eastAsia="Times New Roman"/>
              </w:rPr>
            </w:pPr>
            <w:r>
              <w:rPr>
                <w:rFonts w:ascii="Arial" w:eastAsia="Times New Roman" w:hAnsi="Arial" w:cs="Arial"/>
                <w:sz w:val="16"/>
                <w:szCs w:val="16"/>
              </w:rPr>
              <w:t>(14.304.770,65)</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EF33C" w14:textId="77777777" w:rsidR="00BA3275" w:rsidRDefault="00000000">
            <w:pPr>
              <w:jc w:val="right"/>
              <w:rPr>
                <w:rFonts w:eastAsia="Times New Roman"/>
              </w:rPr>
            </w:pPr>
            <w:r>
              <w:rPr>
                <w:rFonts w:ascii="Arial" w:eastAsia="Times New Roman" w:hAnsi="Arial" w:cs="Arial"/>
                <w:sz w:val="16"/>
                <w:szCs w:val="16"/>
              </w:rPr>
              <w:t>104.062.264,13</w:t>
            </w:r>
          </w:p>
        </w:tc>
      </w:tr>
      <w:tr w:rsidR="00BA3275" w14:paraId="42F12AB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6994F5C" w14:textId="77777777" w:rsidR="00BA3275" w:rsidRDefault="00000000">
            <w:pPr>
              <w:rPr>
                <w:rFonts w:eastAsia="Times New Roman"/>
              </w:rPr>
            </w:pPr>
            <w:r>
              <w:rPr>
                <w:rFonts w:ascii="Arial" w:eastAsia="Times New Roman" w:hAnsi="Arial" w:cs="Arial"/>
                <w:sz w:val="16"/>
                <w:szCs w:val="16"/>
              </w:rPr>
              <w:t>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8670CA" w14:textId="77777777" w:rsidR="00BA3275" w:rsidRDefault="00000000">
            <w:pPr>
              <w:jc w:val="right"/>
              <w:rPr>
                <w:rFonts w:eastAsia="Times New Roman"/>
              </w:rPr>
            </w:pPr>
            <w:r>
              <w:rPr>
                <w:rFonts w:ascii="Arial" w:eastAsia="Times New Roman" w:hAnsi="Arial" w:cs="Arial"/>
                <w:sz w:val="16"/>
                <w:szCs w:val="16"/>
              </w:rPr>
              <w:t>13.390.727,73</w:t>
            </w:r>
          </w:p>
        </w:tc>
        <w:tc>
          <w:tcPr>
            <w:tcW w:w="0" w:type="auto"/>
            <w:tcBorders>
              <w:top w:val="outset" w:sz="6" w:space="0" w:color="auto"/>
              <w:left w:val="outset" w:sz="6" w:space="0" w:color="auto"/>
              <w:bottom w:val="outset" w:sz="6" w:space="0" w:color="auto"/>
              <w:right w:val="outset" w:sz="6" w:space="0" w:color="auto"/>
            </w:tcBorders>
            <w:vAlign w:val="center"/>
            <w:hideMark/>
          </w:tcPr>
          <w:p w14:paraId="1AA1AC3C" w14:textId="77777777" w:rsidR="00BA3275" w:rsidRDefault="00000000">
            <w:pPr>
              <w:jc w:val="right"/>
              <w:rPr>
                <w:rFonts w:eastAsia="Times New Roman"/>
              </w:rPr>
            </w:pPr>
            <w:r>
              <w:rPr>
                <w:rFonts w:ascii="Arial" w:eastAsia="Times New Roman" w:hAnsi="Arial" w:cs="Arial"/>
                <w:sz w:val="16"/>
                <w:szCs w:val="16"/>
              </w:rPr>
              <w:t>(56.107,15)</w:t>
            </w:r>
          </w:p>
        </w:tc>
        <w:tc>
          <w:tcPr>
            <w:tcW w:w="0" w:type="auto"/>
            <w:tcBorders>
              <w:top w:val="outset" w:sz="6" w:space="0" w:color="auto"/>
              <w:left w:val="outset" w:sz="6" w:space="0" w:color="auto"/>
              <w:bottom w:val="outset" w:sz="6" w:space="0" w:color="auto"/>
              <w:right w:val="outset" w:sz="6" w:space="0" w:color="auto"/>
            </w:tcBorders>
            <w:vAlign w:val="center"/>
            <w:hideMark/>
          </w:tcPr>
          <w:p w14:paraId="47592BC6" w14:textId="77777777" w:rsidR="00BA3275" w:rsidRDefault="00000000">
            <w:pPr>
              <w:jc w:val="right"/>
              <w:rPr>
                <w:rFonts w:eastAsia="Times New Roman"/>
              </w:rPr>
            </w:pPr>
            <w:r>
              <w:rPr>
                <w:rFonts w:ascii="Arial" w:eastAsia="Times New Roman" w:hAnsi="Arial" w:cs="Arial"/>
                <w:sz w:val="16"/>
                <w:szCs w:val="16"/>
              </w:rPr>
              <w:t>13.334.620,58</w:t>
            </w:r>
          </w:p>
        </w:tc>
      </w:tr>
      <w:tr w:rsidR="00BA3275" w14:paraId="481050F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8FF8106" w14:textId="77777777" w:rsidR="00BA3275" w:rsidRDefault="00000000">
            <w:pPr>
              <w:rPr>
                <w:rFonts w:eastAsia="Times New Roman"/>
              </w:rPr>
            </w:pPr>
            <w:r>
              <w:rPr>
                <w:rFonts w:ascii="Arial" w:eastAsia="Times New Roman" w:hAnsi="Arial" w:cs="Arial"/>
                <w:sz w:val="16"/>
                <w:szCs w:val="16"/>
              </w:rPr>
              <w:t>Adiantamento a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0589EA" w14:textId="77777777" w:rsidR="00BA3275" w:rsidRDefault="00000000">
            <w:pPr>
              <w:jc w:val="right"/>
              <w:rPr>
                <w:rFonts w:eastAsia="Times New Roman"/>
              </w:rPr>
            </w:pPr>
            <w:r>
              <w:rPr>
                <w:rFonts w:ascii="Arial" w:eastAsia="Times New Roman" w:hAnsi="Arial" w:cs="Arial"/>
                <w:sz w:val="16"/>
                <w:szCs w:val="16"/>
              </w:rPr>
              <w:t>184.232,88</w:t>
            </w:r>
          </w:p>
        </w:tc>
        <w:tc>
          <w:tcPr>
            <w:tcW w:w="0" w:type="auto"/>
            <w:tcBorders>
              <w:top w:val="outset" w:sz="6" w:space="0" w:color="auto"/>
              <w:left w:val="outset" w:sz="6" w:space="0" w:color="auto"/>
              <w:bottom w:val="outset" w:sz="6" w:space="0" w:color="auto"/>
              <w:right w:val="outset" w:sz="6" w:space="0" w:color="auto"/>
            </w:tcBorders>
            <w:vAlign w:val="center"/>
            <w:hideMark/>
          </w:tcPr>
          <w:p w14:paraId="18889B78" w14:textId="77777777" w:rsidR="00BA3275" w:rsidRDefault="00000000">
            <w:pPr>
              <w:jc w:val="right"/>
              <w:rPr>
                <w:rFonts w:eastAsia="Times New Roman"/>
              </w:rPr>
            </w:pPr>
            <w:r>
              <w:rPr>
                <w:rFonts w:ascii="Arial" w:eastAsia="Times New Roman" w:hAnsi="Arial" w:cs="Arial"/>
                <w:sz w:val="16"/>
                <w:szCs w:val="16"/>
              </w:rPr>
              <w:t>(53.854,50)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C10CAE" w14:textId="77777777" w:rsidR="00BA3275" w:rsidRDefault="00000000">
            <w:pPr>
              <w:jc w:val="right"/>
              <w:rPr>
                <w:rFonts w:eastAsia="Times New Roman"/>
              </w:rPr>
            </w:pPr>
            <w:r>
              <w:rPr>
                <w:rFonts w:ascii="Arial" w:eastAsia="Times New Roman" w:hAnsi="Arial" w:cs="Arial"/>
                <w:sz w:val="16"/>
                <w:szCs w:val="16"/>
              </w:rPr>
              <w:t>130.378,38</w:t>
            </w:r>
          </w:p>
        </w:tc>
      </w:tr>
      <w:tr w:rsidR="00BA3275" w14:paraId="7842D61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4FFFBB0" w14:textId="77777777" w:rsidR="00BA3275" w:rsidRDefault="00000000">
            <w:pPr>
              <w:rPr>
                <w:rFonts w:eastAsia="Times New Roman"/>
              </w:rPr>
            </w:pPr>
            <w:r>
              <w:rPr>
                <w:rFonts w:ascii="Arial" w:eastAsia="Times New Roman" w:hAnsi="Arial" w:cs="Arial"/>
                <w:sz w:val="16"/>
                <w:szCs w:val="16"/>
              </w:rPr>
              <w:t>Cheque Especial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B67597D" w14:textId="77777777" w:rsidR="00BA3275" w:rsidRDefault="00000000">
            <w:pPr>
              <w:jc w:val="right"/>
              <w:rPr>
                <w:rFonts w:eastAsia="Times New Roman"/>
              </w:rPr>
            </w:pPr>
            <w:r>
              <w:rPr>
                <w:rFonts w:ascii="Arial" w:eastAsia="Times New Roman" w:hAnsi="Arial" w:cs="Arial"/>
                <w:sz w:val="16"/>
                <w:szCs w:val="16"/>
              </w:rPr>
              <w:t>3.071.607,45</w:t>
            </w:r>
          </w:p>
        </w:tc>
        <w:tc>
          <w:tcPr>
            <w:tcW w:w="0" w:type="auto"/>
            <w:tcBorders>
              <w:top w:val="outset" w:sz="6" w:space="0" w:color="auto"/>
              <w:left w:val="outset" w:sz="6" w:space="0" w:color="auto"/>
              <w:bottom w:val="outset" w:sz="6" w:space="0" w:color="auto"/>
              <w:right w:val="outset" w:sz="6" w:space="0" w:color="auto"/>
            </w:tcBorders>
            <w:vAlign w:val="center"/>
            <w:hideMark/>
          </w:tcPr>
          <w:p w14:paraId="26E10659" w14:textId="77777777" w:rsidR="00BA3275" w:rsidRDefault="00000000">
            <w:pPr>
              <w:jc w:val="right"/>
              <w:rPr>
                <w:rFonts w:eastAsia="Times New Roman"/>
              </w:rPr>
            </w:pPr>
            <w:r>
              <w:rPr>
                <w:rFonts w:ascii="Arial" w:eastAsia="Times New Roman" w:hAnsi="Arial" w:cs="Arial"/>
                <w:sz w:val="16"/>
                <w:szCs w:val="16"/>
              </w:rPr>
              <w:t>(439.379,93)</w:t>
            </w:r>
          </w:p>
        </w:tc>
        <w:tc>
          <w:tcPr>
            <w:tcW w:w="0" w:type="auto"/>
            <w:tcBorders>
              <w:top w:val="outset" w:sz="6" w:space="0" w:color="auto"/>
              <w:left w:val="outset" w:sz="6" w:space="0" w:color="auto"/>
              <w:bottom w:val="outset" w:sz="6" w:space="0" w:color="auto"/>
              <w:right w:val="outset" w:sz="6" w:space="0" w:color="auto"/>
            </w:tcBorders>
            <w:vAlign w:val="center"/>
            <w:hideMark/>
          </w:tcPr>
          <w:p w14:paraId="21BD5A6D" w14:textId="77777777" w:rsidR="00BA3275" w:rsidRDefault="00000000">
            <w:pPr>
              <w:jc w:val="right"/>
              <w:rPr>
                <w:rFonts w:eastAsia="Times New Roman"/>
              </w:rPr>
            </w:pPr>
            <w:r>
              <w:rPr>
                <w:rFonts w:ascii="Arial" w:eastAsia="Times New Roman" w:hAnsi="Arial" w:cs="Arial"/>
                <w:sz w:val="16"/>
                <w:szCs w:val="16"/>
              </w:rPr>
              <w:t>2.632.227,52</w:t>
            </w:r>
          </w:p>
        </w:tc>
      </w:tr>
      <w:tr w:rsidR="00BA3275" w14:paraId="49F582C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71D4AE3" w14:textId="77777777" w:rsidR="00BA3275" w:rsidRDefault="00000000">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CEC865" w14:textId="77777777" w:rsidR="00BA3275" w:rsidRDefault="00000000">
            <w:pPr>
              <w:jc w:val="right"/>
              <w:rPr>
                <w:rFonts w:eastAsia="Times New Roman"/>
              </w:rPr>
            </w:pPr>
            <w:r>
              <w:rPr>
                <w:rFonts w:ascii="Arial" w:eastAsia="Times New Roman" w:hAnsi="Arial" w:cs="Arial"/>
                <w:sz w:val="16"/>
                <w:szCs w:val="16"/>
              </w:rPr>
              <w:t>82.757.553,90</w:t>
            </w:r>
          </w:p>
        </w:tc>
        <w:tc>
          <w:tcPr>
            <w:tcW w:w="0" w:type="auto"/>
            <w:tcBorders>
              <w:top w:val="outset" w:sz="6" w:space="0" w:color="auto"/>
              <w:left w:val="outset" w:sz="6" w:space="0" w:color="auto"/>
              <w:bottom w:val="outset" w:sz="6" w:space="0" w:color="auto"/>
              <w:right w:val="outset" w:sz="6" w:space="0" w:color="auto"/>
            </w:tcBorders>
            <w:vAlign w:val="center"/>
            <w:hideMark/>
          </w:tcPr>
          <w:p w14:paraId="0CEAB40B" w14:textId="77777777" w:rsidR="00BA3275" w:rsidRDefault="00000000">
            <w:pPr>
              <w:jc w:val="right"/>
              <w:rPr>
                <w:rFonts w:eastAsia="Times New Roman"/>
              </w:rPr>
            </w:pPr>
            <w:r>
              <w:rPr>
                <w:rFonts w:ascii="Arial" w:eastAsia="Times New Roman" w:hAnsi="Arial" w:cs="Arial"/>
                <w:sz w:val="16"/>
                <w:szCs w:val="16"/>
              </w:rPr>
              <w:t>(1.205.777,05)</w:t>
            </w:r>
          </w:p>
        </w:tc>
        <w:tc>
          <w:tcPr>
            <w:tcW w:w="0" w:type="auto"/>
            <w:tcBorders>
              <w:top w:val="outset" w:sz="6" w:space="0" w:color="auto"/>
              <w:left w:val="outset" w:sz="6" w:space="0" w:color="auto"/>
              <w:bottom w:val="outset" w:sz="6" w:space="0" w:color="auto"/>
              <w:right w:val="outset" w:sz="6" w:space="0" w:color="auto"/>
            </w:tcBorders>
            <w:vAlign w:val="center"/>
            <w:hideMark/>
          </w:tcPr>
          <w:p w14:paraId="2309CC76" w14:textId="77777777" w:rsidR="00BA3275" w:rsidRDefault="00000000">
            <w:pPr>
              <w:jc w:val="right"/>
              <w:rPr>
                <w:rFonts w:eastAsia="Times New Roman"/>
              </w:rPr>
            </w:pPr>
            <w:r>
              <w:rPr>
                <w:rFonts w:ascii="Arial" w:eastAsia="Times New Roman" w:hAnsi="Arial" w:cs="Arial"/>
                <w:sz w:val="16"/>
                <w:szCs w:val="16"/>
              </w:rPr>
              <w:t>81.551.776,85</w:t>
            </w:r>
          </w:p>
        </w:tc>
      </w:tr>
      <w:tr w:rsidR="00BA3275" w14:paraId="05CBF7F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AA66002" w14:textId="77777777" w:rsidR="00BA3275" w:rsidRDefault="00000000">
            <w:pPr>
              <w:rPr>
                <w:rFonts w:eastAsia="Times New Roman"/>
              </w:rPr>
            </w:pPr>
            <w:r>
              <w:rPr>
                <w:rFonts w:ascii="Arial" w:eastAsia="Times New Roman"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BE1F85" w14:textId="77777777" w:rsidR="00BA3275" w:rsidRDefault="00000000">
            <w:pPr>
              <w:jc w:val="right"/>
              <w:rPr>
                <w:rFonts w:eastAsia="Times New Roman"/>
              </w:rPr>
            </w:pPr>
            <w:r>
              <w:rPr>
                <w:rFonts w:ascii="Arial" w:eastAsia="Times New Roman" w:hAnsi="Arial" w:cs="Arial"/>
                <w:sz w:val="16"/>
                <w:szCs w:val="16"/>
              </w:rPr>
              <w:t>361.338.019,21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7CBEF49" w14:textId="77777777" w:rsidR="00BA3275" w:rsidRDefault="00000000">
            <w:pPr>
              <w:jc w:val="right"/>
              <w:rPr>
                <w:rFonts w:eastAsia="Times New Roman"/>
              </w:rPr>
            </w:pPr>
            <w:r>
              <w:rPr>
                <w:rFonts w:ascii="Arial" w:eastAsia="Times New Roman" w:hAnsi="Arial" w:cs="Arial"/>
                <w:sz w:val="16"/>
                <w:szCs w:val="16"/>
              </w:rPr>
              <w:t>(2.010.150,21)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5A77F51" w14:textId="77777777" w:rsidR="00BA3275" w:rsidRDefault="00000000">
            <w:pPr>
              <w:jc w:val="right"/>
              <w:rPr>
                <w:rFonts w:eastAsia="Times New Roman"/>
              </w:rPr>
            </w:pPr>
            <w:r>
              <w:rPr>
                <w:rFonts w:ascii="Arial" w:eastAsia="Times New Roman" w:hAnsi="Arial" w:cs="Arial"/>
                <w:sz w:val="16"/>
                <w:szCs w:val="16"/>
              </w:rPr>
              <w:t>359.327.869,00</w:t>
            </w:r>
          </w:p>
        </w:tc>
      </w:tr>
      <w:tr w:rsidR="00BA3275" w14:paraId="1C9D923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CF427F3" w14:textId="77777777" w:rsidR="00BA3275" w:rsidRDefault="00000000">
            <w:pPr>
              <w:rPr>
                <w:rFonts w:eastAsia="Times New Roman"/>
              </w:rPr>
            </w:pPr>
            <w:r>
              <w:rPr>
                <w:rFonts w:ascii="Arial" w:eastAsia="Times New Roman" w:hAnsi="Arial" w:cs="Arial"/>
                <w:b/>
                <w:bCs/>
                <w:sz w:val="16"/>
                <w:szCs w:val="16"/>
              </w:rPr>
              <w:t>Total -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DAD8D17" w14:textId="77777777" w:rsidR="00BA3275" w:rsidRDefault="00000000">
            <w:pPr>
              <w:jc w:val="right"/>
              <w:rPr>
                <w:rFonts w:eastAsia="Times New Roman"/>
              </w:rPr>
            </w:pPr>
            <w:r>
              <w:rPr>
                <w:rFonts w:ascii="Arial" w:eastAsia="Times New Roman" w:hAnsi="Arial" w:cs="Arial"/>
                <w:b/>
                <w:bCs/>
                <w:sz w:val="16"/>
                <w:szCs w:val="16"/>
              </w:rPr>
              <w:t>579.109.175,95</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A6FEA" w14:textId="77777777" w:rsidR="00BA3275" w:rsidRDefault="00000000">
            <w:pPr>
              <w:jc w:val="right"/>
              <w:rPr>
                <w:rFonts w:eastAsia="Times New Roman"/>
              </w:rPr>
            </w:pPr>
            <w:r>
              <w:rPr>
                <w:rFonts w:ascii="Arial" w:eastAsia="Times New Roman" w:hAnsi="Arial" w:cs="Arial"/>
                <w:b/>
                <w:bCs/>
                <w:sz w:val="16"/>
                <w:szCs w:val="16"/>
              </w:rPr>
              <w:t>(18.070.039,49)</w:t>
            </w:r>
          </w:p>
        </w:tc>
        <w:tc>
          <w:tcPr>
            <w:tcW w:w="0" w:type="auto"/>
            <w:tcBorders>
              <w:top w:val="outset" w:sz="6" w:space="0" w:color="auto"/>
              <w:left w:val="outset" w:sz="6" w:space="0" w:color="auto"/>
              <w:bottom w:val="outset" w:sz="6" w:space="0" w:color="auto"/>
              <w:right w:val="outset" w:sz="6" w:space="0" w:color="auto"/>
            </w:tcBorders>
            <w:vAlign w:val="center"/>
            <w:hideMark/>
          </w:tcPr>
          <w:p w14:paraId="19744591" w14:textId="77777777" w:rsidR="00BA3275" w:rsidRDefault="00000000">
            <w:pPr>
              <w:jc w:val="right"/>
              <w:rPr>
                <w:rFonts w:eastAsia="Times New Roman"/>
              </w:rPr>
            </w:pPr>
            <w:r>
              <w:rPr>
                <w:rFonts w:ascii="Arial" w:eastAsia="Times New Roman" w:hAnsi="Arial" w:cs="Arial"/>
                <w:b/>
                <w:bCs/>
                <w:sz w:val="16"/>
                <w:szCs w:val="16"/>
              </w:rPr>
              <w:t>561.039.136,46</w:t>
            </w:r>
          </w:p>
        </w:tc>
      </w:tr>
      <w:tr w:rsidR="00BA3275" w14:paraId="2D83B25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3FDEBFD" w14:textId="77777777" w:rsidR="00BA3275" w:rsidRDefault="00000000">
            <w:pPr>
              <w:rPr>
                <w:rFonts w:eastAsia="Times New Roman"/>
              </w:rPr>
            </w:pPr>
            <w:r>
              <w:rPr>
                <w:rFonts w:ascii="Arial" w:eastAsia="Times New Roman" w:hAnsi="Arial" w:cs="Arial"/>
                <w:b/>
                <w:bCs/>
                <w:sz w:val="16"/>
                <w:szCs w:val="16"/>
              </w:rPr>
              <w:t>Outras Operações com Características de Concessão de Crédito - Custo Amortizados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533DBA" w14:textId="77777777" w:rsidR="00BA3275" w:rsidRDefault="00000000">
            <w:pPr>
              <w:jc w:val="right"/>
              <w:rPr>
                <w:rFonts w:eastAsia="Times New Roman"/>
              </w:rPr>
            </w:pPr>
            <w:r>
              <w:rPr>
                <w:rFonts w:ascii="Arial" w:eastAsia="Times New Roman"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73C2DD" w14:textId="77777777" w:rsidR="00BA3275" w:rsidRDefault="00000000">
            <w:pPr>
              <w:jc w:val="right"/>
              <w:rPr>
                <w:rFonts w:eastAsia="Times New Roman"/>
              </w:rPr>
            </w:pPr>
            <w:r>
              <w:rPr>
                <w:rFonts w:ascii="Arial" w:eastAsia="Times New Roman"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077E44" w14:textId="77777777" w:rsidR="00BA3275" w:rsidRDefault="00000000">
            <w:pPr>
              <w:jc w:val="right"/>
              <w:rPr>
                <w:rFonts w:eastAsia="Times New Roman"/>
              </w:rPr>
            </w:pPr>
            <w:r>
              <w:rPr>
                <w:rFonts w:ascii="Arial" w:eastAsia="Times New Roman" w:hAnsi="Arial" w:cs="Arial"/>
                <w:b/>
                <w:bCs/>
                <w:sz w:val="16"/>
                <w:szCs w:val="16"/>
              </w:rPr>
              <w:t> </w:t>
            </w:r>
          </w:p>
        </w:tc>
      </w:tr>
      <w:tr w:rsidR="00BA3275" w14:paraId="5E08C66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05DCA4A" w14:textId="77777777" w:rsidR="00BA3275" w:rsidRDefault="00000000">
            <w:pPr>
              <w:rPr>
                <w:rFonts w:eastAsia="Times New Roman"/>
              </w:rPr>
            </w:pPr>
            <w:r>
              <w:rPr>
                <w:rFonts w:ascii="Arial" w:eastAsia="Times New Roman" w:hAnsi="Arial" w:cs="Arial"/>
                <w:sz w:val="16"/>
                <w:szCs w:val="16"/>
              </w:rPr>
              <w:t>Créditos por Avais e Fianças Honrados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63713" w14:textId="77777777" w:rsidR="00BA3275" w:rsidRDefault="00000000">
            <w:pPr>
              <w:jc w:val="right"/>
              <w:rPr>
                <w:rFonts w:eastAsia="Times New Roman"/>
              </w:rPr>
            </w:pPr>
            <w:r>
              <w:rPr>
                <w:rFonts w:ascii="Arial" w:eastAsia="Times New Roman" w:hAnsi="Arial" w:cs="Arial"/>
                <w:sz w:val="16"/>
                <w:szCs w:val="16"/>
              </w:rPr>
              <w:t>377.997,28</w:t>
            </w:r>
          </w:p>
        </w:tc>
        <w:tc>
          <w:tcPr>
            <w:tcW w:w="0" w:type="auto"/>
            <w:tcBorders>
              <w:top w:val="outset" w:sz="6" w:space="0" w:color="auto"/>
              <w:left w:val="outset" w:sz="6" w:space="0" w:color="auto"/>
              <w:bottom w:val="outset" w:sz="6" w:space="0" w:color="auto"/>
              <w:right w:val="outset" w:sz="6" w:space="0" w:color="auto"/>
            </w:tcBorders>
            <w:vAlign w:val="center"/>
            <w:hideMark/>
          </w:tcPr>
          <w:p w14:paraId="6A1BA499" w14:textId="77777777" w:rsidR="00BA3275" w:rsidRDefault="00000000">
            <w:pPr>
              <w:jc w:val="right"/>
              <w:rPr>
                <w:rFonts w:eastAsia="Times New Roman"/>
              </w:rPr>
            </w:pPr>
            <w:r>
              <w:rPr>
                <w:rFonts w:ascii="Arial" w:eastAsia="Times New Roman" w:hAnsi="Arial" w:cs="Arial"/>
                <w:sz w:val="16"/>
                <w:szCs w:val="16"/>
              </w:rPr>
              <w:t>(276.764,08)</w:t>
            </w:r>
          </w:p>
        </w:tc>
        <w:tc>
          <w:tcPr>
            <w:tcW w:w="0" w:type="auto"/>
            <w:tcBorders>
              <w:top w:val="outset" w:sz="6" w:space="0" w:color="auto"/>
              <w:left w:val="outset" w:sz="6" w:space="0" w:color="auto"/>
              <w:bottom w:val="outset" w:sz="6" w:space="0" w:color="auto"/>
              <w:right w:val="outset" w:sz="6" w:space="0" w:color="auto"/>
            </w:tcBorders>
            <w:vAlign w:val="center"/>
            <w:hideMark/>
          </w:tcPr>
          <w:p w14:paraId="41867379" w14:textId="77777777" w:rsidR="00BA3275" w:rsidRDefault="00000000">
            <w:pPr>
              <w:jc w:val="right"/>
              <w:rPr>
                <w:rFonts w:eastAsia="Times New Roman"/>
              </w:rPr>
            </w:pPr>
            <w:r>
              <w:rPr>
                <w:rFonts w:ascii="Arial" w:eastAsia="Times New Roman" w:hAnsi="Arial" w:cs="Arial"/>
                <w:sz w:val="16"/>
                <w:szCs w:val="16"/>
              </w:rPr>
              <w:t>101.233,20</w:t>
            </w:r>
          </w:p>
        </w:tc>
      </w:tr>
      <w:tr w:rsidR="00BA3275" w14:paraId="205AA76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1AFD794" w14:textId="77777777" w:rsidR="00BA3275" w:rsidRDefault="00000000">
            <w:pPr>
              <w:rPr>
                <w:rFonts w:eastAsia="Times New Roman"/>
              </w:rPr>
            </w:pPr>
            <w:r>
              <w:rPr>
                <w:rFonts w:ascii="Arial" w:eastAsia="Times New Roman" w:hAnsi="Arial" w:cs="Arial"/>
                <w:sz w:val="16"/>
                <w:szCs w:val="16"/>
              </w:rPr>
              <w:t>CPRF</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DF5CD" w14:textId="77777777" w:rsidR="00BA3275" w:rsidRDefault="00000000">
            <w:pPr>
              <w:jc w:val="right"/>
              <w:rPr>
                <w:rFonts w:eastAsia="Times New Roman"/>
              </w:rPr>
            </w:pPr>
            <w:r>
              <w:rPr>
                <w:rFonts w:ascii="Arial" w:eastAsia="Times New Roman" w:hAnsi="Arial" w:cs="Arial"/>
                <w:sz w:val="16"/>
                <w:szCs w:val="16"/>
              </w:rPr>
              <w:t>78.359.092,67</w:t>
            </w:r>
          </w:p>
        </w:tc>
        <w:tc>
          <w:tcPr>
            <w:tcW w:w="0" w:type="auto"/>
            <w:tcBorders>
              <w:top w:val="outset" w:sz="6" w:space="0" w:color="auto"/>
              <w:left w:val="outset" w:sz="6" w:space="0" w:color="auto"/>
              <w:bottom w:val="outset" w:sz="6" w:space="0" w:color="auto"/>
              <w:right w:val="outset" w:sz="6" w:space="0" w:color="auto"/>
            </w:tcBorders>
            <w:vAlign w:val="center"/>
            <w:hideMark/>
          </w:tcPr>
          <w:p w14:paraId="40FB7351" w14:textId="77777777" w:rsidR="00BA3275" w:rsidRDefault="00000000">
            <w:pPr>
              <w:jc w:val="right"/>
              <w:rPr>
                <w:rFonts w:eastAsia="Times New Roman"/>
              </w:rPr>
            </w:pPr>
            <w:r>
              <w:rPr>
                <w:rFonts w:ascii="Arial" w:eastAsia="Times New Roman" w:hAnsi="Arial" w:cs="Arial"/>
                <w:sz w:val="16"/>
                <w:szCs w:val="16"/>
              </w:rPr>
              <w:t>(201.785,05)</w:t>
            </w:r>
          </w:p>
        </w:tc>
        <w:tc>
          <w:tcPr>
            <w:tcW w:w="0" w:type="auto"/>
            <w:tcBorders>
              <w:top w:val="outset" w:sz="6" w:space="0" w:color="auto"/>
              <w:left w:val="outset" w:sz="6" w:space="0" w:color="auto"/>
              <w:bottom w:val="outset" w:sz="6" w:space="0" w:color="auto"/>
              <w:right w:val="outset" w:sz="6" w:space="0" w:color="auto"/>
            </w:tcBorders>
            <w:vAlign w:val="center"/>
            <w:hideMark/>
          </w:tcPr>
          <w:p w14:paraId="0983CCF6" w14:textId="77777777" w:rsidR="00BA3275" w:rsidRDefault="00000000">
            <w:pPr>
              <w:jc w:val="right"/>
              <w:rPr>
                <w:rFonts w:eastAsia="Times New Roman"/>
              </w:rPr>
            </w:pPr>
            <w:r>
              <w:rPr>
                <w:rFonts w:ascii="Arial" w:eastAsia="Times New Roman" w:hAnsi="Arial" w:cs="Arial"/>
                <w:sz w:val="16"/>
                <w:szCs w:val="16"/>
              </w:rPr>
              <w:t>78.157.307,62</w:t>
            </w:r>
          </w:p>
        </w:tc>
      </w:tr>
      <w:tr w:rsidR="00BA3275" w14:paraId="15E384F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0D3D595" w14:textId="77777777" w:rsidR="00BA3275" w:rsidRDefault="00000000">
            <w:pPr>
              <w:rPr>
                <w:rFonts w:eastAsia="Times New Roman"/>
              </w:rPr>
            </w:pPr>
            <w:r>
              <w:rPr>
                <w:rFonts w:ascii="Arial" w:eastAsia="Times New Roman" w:hAnsi="Arial" w:cs="Arial"/>
                <w:b/>
                <w:bCs/>
                <w:sz w:val="16"/>
                <w:szCs w:val="16"/>
              </w:rPr>
              <w:t>Total - Outras Operações com Características de Concessão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9B58872" w14:textId="77777777" w:rsidR="00BA3275" w:rsidRDefault="00000000">
            <w:pPr>
              <w:jc w:val="right"/>
              <w:rPr>
                <w:rFonts w:eastAsia="Times New Roman"/>
              </w:rPr>
            </w:pPr>
            <w:r>
              <w:rPr>
                <w:rFonts w:ascii="Arial" w:eastAsia="Times New Roman" w:hAnsi="Arial" w:cs="Arial"/>
                <w:b/>
                <w:bCs/>
                <w:sz w:val="16"/>
                <w:szCs w:val="16"/>
              </w:rPr>
              <w:t>78.737.089,95</w:t>
            </w:r>
          </w:p>
        </w:tc>
        <w:tc>
          <w:tcPr>
            <w:tcW w:w="0" w:type="auto"/>
            <w:tcBorders>
              <w:top w:val="outset" w:sz="6" w:space="0" w:color="auto"/>
              <w:left w:val="outset" w:sz="6" w:space="0" w:color="auto"/>
              <w:bottom w:val="outset" w:sz="6" w:space="0" w:color="auto"/>
              <w:right w:val="outset" w:sz="6" w:space="0" w:color="auto"/>
            </w:tcBorders>
            <w:vAlign w:val="center"/>
            <w:hideMark/>
          </w:tcPr>
          <w:p w14:paraId="74407D04" w14:textId="77777777" w:rsidR="00BA3275" w:rsidRDefault="00000000">
            <w:pPr>
              <w:jc w:val="right"/>
              <w:rPr>
                <w:rFonts w:eastAsia="Times New Roman"/>
              </w:rPr>
            </w:pPr>
            <w:r>
              <w:rPr>
                <w:rFonts w:ascii="Arial" w:eastAsia="Times New Roman" w:hAnsi="Arial" w:cs="Arial"/>
                <w:b/>
                <w:bCs/>
                <w:sz w:val="16"/>
                <w:szCs w:val="16"/>
              </w:rPr>
              <w:t>(478.549,13)</w:t>
            </w:r>
          </w:p>
        </w:tc>
        <w:tc>
          <w:tcPr>
            <w:tcW w:w="0" w:type="auto"/>
            <w:tcBorders>
              <w:top w:val="outset" w:sz="6" w:space="0" w:color="auto"/>
              <w:left w:val="outset" w:sz="6" w:space="0" w:color="auto"/>
              <w:bottom w:val="outset" w:sz="6" w:space="0" w:color="auto"/>
              <w:right w:val="outset" w:sz="6" w:space="0" w:color="auto"/>
            </w:tcBorders>
            <w:vAlign w:val="center"/>
            <w:hideMark/>
          </w:tcPr>
          <w:p w14:paraId="6908E91A" w14:textId="77777777" w:rsidR="00BA3275" w:rsidRDefault="00000000">
            <w:pPr>
              <w:jc w:val="right"/>
              <w:rPr>
                <w:rFonts w:eastAsia="Times New Roman"/>
              </w:rPr>
            </w:pPr>
            <w:r>
              <w:rPr>
                <w:rFonts w:ascii="Arial" w:eastAsia="Times New Roman" w:hAnsi="Arial" w:cs="Arial"/>
                <w:b/>
                <w:bCs/>
                <w:sz w:val="16"/>
                <w:szCs w:val="16"/>
              </w:rPr>
              <w:t>78.258.540,82</w:t>
            </w:r>
          </w:p>
        </w:tc>
      </w:tr>
    </w:tbl>
    <w:p w14:paraId="75CB8784" w14:textId="6D99544C" w:rsidR="00BA3275" w:rsidRDefault="00000000">
      <w:pPr>
        <w:pStyle w:val="NormalWeb"/>
      </w:pPr>
      <w:r>
        <w:rPr>
          <w:rFonts w:ascii="Arial" w:hAnsi="Arial" w:cs="Arial"/>
          <w:b/>
          <w:bCs/>
          <w:sz w:val="20"/>
          <w:szCs w:val="20"/>
        </w:rPr>
        <w:t>6.</w:t>
      </w:r>
      <w:r w:rsidR="00991889">
        <w:rPr>
          <w:rFonts w:ascii="Arial" w:hAnsi="Arial" w:cs="Arial"/>
          <w:b/>
          <w:bCs/>
          <w:sz w:val="20"/>
          <w:szCs w:val="20"/>
        </w:rPr>
        <w:t>6</w:t>
      </w:r>
      <w:r>
        <w:rPr>
          <w:rFonts w:ascii="Arial" w:hAnsi="Arial" w:cs="Arial"/>
          <w:b/>
          <w:bCs/>
          <w:sz w:val="20"/>
          <w:szCs w:val="20"/>
        </w:rPr>
        <w:t xml:space="preserve"> Abertura dos Financiamentos Rurais</w:t>
      </w:r>
    </w:p>
    <w:p w14:paraId="1C1AD16F" w14:textId="77777777" w:rsidR="00BA3275" w:rsidRDefault="00000000">
      <w:pPr>
        <w:pStyle w:val="NormalWeb"/>
        <w:jc w:val="both"/>
      </w:pPr>
      <w:r>
        <w:rPr>
          <w:rFonts w:ascii="Arial" w:hAnsi="Arial" w:cs="Arial"/>
          <w:sz w:val="20"/>
          <w:szCs w:val="20"/>
        </w:rPr>
        <w:t>Abaixo está demonstrado a abertura dos financiamentos rurais, incluindo o direcionamento de recursos para aplicação no crédito rural:</w:t>
      </w:r>
    </w:p>
    <w:tbl>
      <w:tblPr>
        <w:tblW w:w="5000" w:type="pct"/>
        <w:tblCellMar>
          <w:left w:w="0" w:type="dxa"/>
          <w:right w:w="0" w:type="dxa"/>
        </w:tblCellMar>
        <w:tblLook w:val="04A0" w:firstRow="1" w:lastRow="0" w:firstColumn="1" w:lastColumn="0" w:noHBand="0" w:noVBand="1"/>
      </w:tblPr>
      <w:tblGrid>
        <w:gridCol w:w="6390"/>
        <w:gridCol w:w="3232"/>
      </w:tblGrid>
      <w:tr w:rsidR="00BA3275" w14:paraId="75C766B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BE15A2D" w14:textId="77777777" w:rsidR="00BA3275" w:rsidRDefault="00000000">
            <w:pPr>
              <w:jc w:val="center"/>
              <w:rPr>
                <w:rFonts w:eastAsia="Times New Roman"/>
              </w:rPr>
            </w:pPr>
            <w:r>
              <w:rPr>
                <w:rFonts w:ascii="Arial" w:eastAsia="Times New Roman"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D5BCC" w14:textId="77777777" w:rsidR="00BA3275" w:rsidRDefault="00000000">
            <w:pPr>
              <w:jc w:val="center"/>
              <w:rPr>
                <w:rFonts w:eastAsia="Times New Roman"/>
              </w:rPr>
            </w:pPr>
            <w:r>
              <w:rPr>
                <w:rFonts w:ascii="Arial" w:eastAsia="Times New Roman" w:hAnsi="Arial" w:cs="Arial"/>
                <w:b/>
                <w:bCs/>
                <w:sz w:val="16"/>
                <w:szCs w:val="16"/>
              </w:rPr>
              <w:t>Total Saldo Contábil Bruto</w:t>
            </w:r>
          </w:p>
        </w:tc>
      </w:tr>
      <w:tr w:rsidR="00BA3275" w14:paraId="3AECE3A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DBC70DD" w14:textId="77777777" w:rsidR="00BA3275" w:rsidRDefault="00000000">
            <w:pPr>
              <w:rPr>
                <w:rFonts w:eastAsia="Times New Roman"/>
              </w:rPr>
            </w:pPr>
            <w:r>
              <w:rPr>
                <w:rFonts w:ascii="Arial" w:eastAsia="Times New Roman" w:hAnsi="Arial" w:cs="Arial"/>
                <w:b/>
                <w:bCs/>
                <w:sz w:val="16"/>
                <w:szCs w:val="16"/>
              </w:rPr>
              <w:t>Financiamentos com Recursos Próprios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142CE30" w14:textId="77777777" w:rsidR="00BA3275" w:rsidRDefault="00000000">
            <w:pPr>
              <w:rPr>
                <w:rFonts w:eastAsia="Times New Roman"/>
              </w:rPr>
            </w:pPr>
            <w:r>
              <w:rPr>
                <w:rFonts w:ascii="Arial" w:eastAsia="Times New Roman" w:hAnsi="Arial" w:cs="Arial"/>
                <w:b/>
                <w:bCs/>
                <w:sz w:val="16"/>
                <w:szCs w:val="16"/>
              </w:rPr>
              <w:t> </w:t>
            </w:r>
          </w:p>
        </w:tc>
      </w:tr>
      <w:tr w:rsidR="00BA3275" w14:paraId="77DC207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CE72E54" w14:textId="77777777" w:rsidR="00BA3275" w:rsidRDefault="00000000">
            <w:pPr>
              <w:rPr>
                <w:rFonts w:eastAsia="Times New Roman"/>
              </w:rPr>
            </w:pPr>
            <w:r>
              <w:rPr>
                <w:rFonts w:ascii="Arial" w:eastAsia="Times New Roman" w:hAnsi="Arial" w:cs="Arial"/>
                <w:sz w:val="16"/>
                <w:szCs w:val="16"/>
              </w:rPr>
              <w:t>Custeio Agricultura - Recursos Próprios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E9151F" w14:textId="77777777" w:rsidR="00BA3275" w:rsidRDefault="00000000">
            <w:pPr>
              <w:jc w:val="right"/>
              <w:rPr>
                <w:rFonts w:eastAsia="Times New Roman"/>
              </w:rPr>
            </w:pPr>
            <w:r>
              <w:rPr>
                <w:rFonts w:ascii="Arial" w:eastAsia="Times New Roman" w:hAnsi="Arial" w:cs="Arial"/>
                <w:sz w:val="16"/>
                <w:szCs w:val="16"/>
              </w:rPr>
              <w:t>10.067.243,07</w:t>
            </w:r>
          </w:p>
        </w:tc>
      </w:tr>
      <w:tr w:rsidR="00BA3275" w14:paraId="647C9CF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2D6B678" w14:textId="77777777" w:rsidR="00BA3275" w:rsidRDefault="00000000">
            <w:pPr>
              <w:rPr>
                <w:rFonts w:eastAsia="Times New Roman"/>
              </w:rPr>
            </w:pPr>
            <w:r>
              <w:rPr>
                <w:rFonts w:ascii="Arial" w:eastAsia="Times New Roman" w:hAnsi="Arial" w:cs="Arial"/>
                <w:sz w:val="16"/>
                <w:szCs w:val="16"/>
              </w:rPr>
              <w:t>Custeio Pecuária - Recursos Próprios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2304D2" w14:textId="77777777" w:rsidR="00BA3275" w:rsidRDefault="00000000">
            <w:pPr>
              <w:jc w:val="right"/>
              <w:rPr>
                <w:rFonts w:eastAsia="Times New Roman"/>
              </w:rPr>
            </w:pPr>
            <w:r>
              <w:rPr>
                <w:rFonts w:ascii="Arial" w:eastAsia="Times New Roman" w:hAnsi="Arial" w:cs="Arial"/>
                <w:sz w:val="16"/>
                <w:szCs w:val="16"/>
              </w:rPr>
              <w:t>6.107.008,33</w:t>
            </w:r>
          </w:p>
        </w:tc>
      </w:tr>
      <w:tr w:rsidR="00BA3275" w14:paraId="0DF1E2E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B9F98AA" w14:textId="77777777" w:rsidR="00BA3275" w:rsidRDefault="00000000">
            <w:pPr>
              <w:rPr>
                <w:rFonts w:eastAsia="Times New Roman"/>
              </w:rPr>
            </w:pPr>
            <w:r>
              <w:rPr>
                <w:rFonts w:ascii="Arial" w:eastAsia="Times New Roman" w:hAnsi="Arial" w:cs="Arial"/>
                <w:b/>
                <w:bCs/>
                <w:sz w:val="16"/>
                <w:szCs w:val="16"/>
              </w:rPr>
              <w:t>Financiamentos com Recursos Direcionados à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063CF" w14:textId="77777777" w:rsidR="00BA3275" w:rsidRDefault="00000000">
            <w:pPr>
              <w:rPr>
                <w:rFonts w:eastAsia="Times New Roman"/>
              </w:rPr>
            </w:pPr>
            <w:r>
              <w:rPr>
                <w:rFonts w:ascii="Arial" w:eastAsia="Times New Roman" w:hAnsi="Arial" w:cs="Arial"/>
                <w:b/>
                <w:bCs/>
                <w:sz w:val="16"/>
                <w:szCs w:val="16"/>
              </w:rPr>
              <w:t> </w:t>
            </w:r>
          </w:p>
        </w:tc>
      </w:tr>
      <w:tr w:rsidR="00BA3275" w14:paraId="24A21CA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39B7910" w14:textId="77777777" w:rsidR="00BA3275" w:rsidRDefault="00000000">
            <w:pPr>
              <w:rPr>
                <w:rFonts w:eastAsia="Times New Roman"/>
              </w:rPr>
            </w:pPr>
            <w:r>
              <w:rPr>
                <w:rFonts w:ascii="Arial" w:eastAsia="Times New Roman" w:hAnsi="Arial" w:cs="Arial"/>
                <w:sz w:val="16"/>
                <w:szCs w:val="16"/>
              </w:rPr>
              <w:t>Custeio Agricultura - Recursos Direcionados à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E8021EB" w14:textId="77777777" w:rsidR="00BA3275" w:rsidRDefault="00000000">
            <w:pPr>
              <w:jc w:val="right"/>
              <w:rPr>
                <w:rFonts w:eastAsia="Times New Roman"/>
              </w:rPr>
            </w:pPr>
            <w:r>
              <w:rPr>
                <w:rFonts w:ascii="Arial" w:eastAsia="Times New Roman" w:hAnsi="Arial" w:cs="Arial"/>
                <w:sz w:val="16"/>
                <w:szCs w:val="16"/>
              </w:rPr>
              <w:t>103.360.878,14</w:t>
            </w:r>
          </w:p>
        </w:tc>
      </w:tr>
      <w:tr w:rsidR="00BA3275" w14:paraId="637C29F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A32C653" w14:textId="77777777" w:rsidR="00BA3275" w:rsidRDefault="00000000">
            <w:pPr>
              <w:rPr>
                <w:rFonts w:eastAsia="Times New Roman"/>
              </w:rPr>
            </w:pPr>
            <w:r>
              <w:rPr>
                <w:rFonts w:ascii="Arial" w:eastAsia="Times New Roman" w:hAnsi="Arial" w:cs="Arial"/>
                <w:sz w:val="16"/>
                <w:szCs w:val="16"/>
              </w:rPr>
              <w:t>Custeio Pecuária - Recursos Direcionados à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F682D" w14:textId="77777777" w:rsidR="00BA3275" w:rsidRDefault="00000000">
            <w:pPr>
              <w:jc w:val="right"/>
              <w:rPr>
                <w:rFonts w:eastAsia="Times New Roman"/>
              </w:rPr>
            </w:pPr>
            <w:r>
              <w:rPr>
                <w:rFonts w:ascii="Arial" w:eastAsia="Times New Roman" w:hAnsi="Arial" w:cs="Arial"/>
                <w:sz w:val="16"/>
                <w:szCs w:val="16"/>
              </w:rPr>
              <w:t>27.982.685,08</w:t>
            </w:r>
          </w:p>
        </w:tc>
      </w:tr>
      <w:tr w:rsidR="00BA3275" w14:paraId="267DC9B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D61C0BE" w14:textId="77777777" w:rsidR="00BA3275"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A2C09B9" w14:textId="77777777" w:rsidR="00BA3275" w:rsidRDefault="00000000">
            <w:pPr>
              <w:jc w:val="right"/>
              <w:rPr>
                <w:rFonts w:eastAsia="Times New Roman"/>
              </w:rPr>
            </w:pPr>
            <w:r>
              <w:rPr>
                <w:rFonts w:ascii="Arial" w:eastAsia="Times New Roman" w:hAnsi="Arial" w:cs="Arial"/>
                <w:b/>
                <w:bCs/>
                <w:sz w:val="16"/>
                <w:szCs w:val="16"/>
              </w:rPr>
              <w:t>147.517.814,62</w:t>
            </w:r>
          </w:p>
        </w:tc>
      </w:tr>
    </w:tbl>
    <w:p w14:paraId="03D353A0" w14:textId="10D362A0" w:rsidR="00557E7F" w:rsidRDefault="00000000">
      <w:pPr>
        <w:pStyle w:val="NormalWeb"/>
      </w:pPr>
      <w:r>
        <w:rPr>
          <w:rFonts w:ascii="Arial" w:hAnsi="Arial" w:cs="Arial"/>
          <w:b/>
          <w:bCs/>
          <w:sz w:val="20"/>
          <w:szCs w:val="20"/>
        </w:rPr>
        <w:t>6.</w:t>
      </w:r>
      <w:r w:rsidR="00991889">
        <w:rPr>
          <w:rFonts w:ascii="Arial" w:hAnsi="Arial" w:cs="Arial"/>
          <w:b/>
          <w:bCs/>
          <w:sz w:val="20"/>
          <w:szCs w:val="20"/>
        </w:rPr>
        <w:t>7</w:t>
      </w:r>
      <w:r>
        <w:rPr>
          <w:rFonts w:ascii="Arial" w:hAnsi="Arial" w:cs="Arial"/>
          <w:b/>
          <w:bCs/>
          <w:sz w:val="20"/>
          <w:szCs w:val="20"/>
        </w:rPr>
        <w:t xml:space="preserve"> Composição da Carteira de Crédito por Faixa de Vencimento </w:t>
      </w:r>
    </w:p>
    <w:tbl>
      <w:tblPr>
        <w:tblW w:w="5000" w:type="pct"/>
        <w:tblCellMar>
          <w:left w:w="0" w:type="dxa"/>
          <w:right w:w="0" w:type="dxa"/>
        </w:tblCellMar>
        <w:tblLook w:val="04A0" w:firstRow="1" w:lastRow="0" w:firstColumn="1" w:lastColumn="0" w:noHBand="0" w:noVBand="1"/>
      </w:tblPr>
      <w:tblGrid>
        <w:gridCol w:w="4181"/>
        <w:gridCol w:w="1361"/>
        <w:gridCol w:w="1360"/>
        <w:gridCol w:w="1360"/>
        <w:gridCol w:w="1360"/>
      </w:tblGrid>
      <w:tr w:rsidR="00BA3275" w14:paraId="3456509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35FFD1C" w14:textId="77777777" w:rsidR="00BA3275" w:rsidRDefault="00000000">
            <w:pPr>
              <w:jc w:val="center"/>
              <w:rPr>
                <w:rFonts w:eastAsia="Times New Roman"/>
              </w:rPr>
            </w:pPr>
            <w:r>
              <w:rPr>
                <w:rFonts w:ascii="Arial" w:eastAsia="Times New Roman" w:hAnsi="Arial" w:cs="Arial"/>
                <w:b/>
                <w:bCs/>
                <w:sz w:val="16"/>
                <w:szCs w:val="16"/>
              </w:rPr>
              <w:t>Tipo</w:t>
            </w:r>
          </w:p>
        </w:tc>
        <w:tc>
          <w:tcPr>
            <w:tcW w:w="0" w:type="auto"/>
            <w:tcBorders>
              <w:top w:val="outset" w:sz="6" w:space="0" w:color="auto"/>
              <w:left w:val="outset" w:sz="6" w:space="0" w:color="auto"/>
              <w:bottom w:val="outset" w:sz="6" w:space="0" w:color="auto"/>
              <w:right w:val="outset" w:sz="6" w:space="0" w:color="auto"/>
            </w:tcBorders>
            <w:vAlign w:val="center"/>
            <w:hideMark/>
          </w:tcPr>
          <w:p w14:paraId="647DD504" w14:textId="77777777" w:rsidR="00BA3275" w:rsidRDefault="00000000">
            <w:pPr>
              <w:jc w:val="center"/>
              <w:rPr>
                <w:rFonts w:eastAsia="Times New Roman"/>
              </w:rPr>
            </w:pPr>
            <w:r>
              <w:rPr>
                <w:rFonts w:ascii="Arial" w:eastAsia="Times New Roman" w:hAnsi="Arial" w:cs="Arial"/>
                <w:b/>
                <w:bCs/>
                <w:sz w:val="16"/>
                <w:szCs w:val="16"/>
              </w:rPr>
              <w:t>Até 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A61DCFC" w14:textId="77777777" w:rsidR="00BA3275" w:rsidRDefault="00000000">
            <w:pPr>
              <w:jc w:val="center"/>
              <w:rPr>
                <w:rFonts w:eastAsia="Times New Roman"/>
              </w:rPr>
            </w:pPr>
            <w:r>
              <w:rPr>
                <w:rFonts w:ascii="Arial" w:eastAsia="Times New Roman" w:hAnsi="Arial" w:cs="Arial"/>
                <w:b/>
                <w:bCs/>
                <w:sz w:val="16"/>
                <w:szCs w:val="16"/>
              </w:rPr>
              <w:t>De 91 a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6783EB" w14:textId="77777777" w:rsidR="00BA3275" w:rsidRDefault="00000000">
            <w:pPr>
              <w:jc w:val="center"/>
              <w:rPr>
                <w:rFonts w:eastAsia="Times New Roman"/>
              </w:rPr>
            </w:pPr>
            <w:r>
              <w:rPr>
                <w:rFonts w:ascii="Arial" w:eastAsia="Times New Roman" w:hAnsi="Arial" w:cs="Arial"/>
                <w:b/>
                <w:bCs/>
                <w:sz w:val="16"/>
                <w:szCs w:val="16"/>
              </w:rPr>
              <w:t>Acima de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493C9614"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6699CCD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E5E63BB" w14:textId="77777777" w:rsidR="00BA3275" w:rsidRDefault="00000000">
            <w:pPr>
              <w:rPr>
                <w:rFonts w:eastAsia="Times New Roman"/>
              </w:rPr>
            </w:pPr>
            <w:r>
              <w:rPr>
                <w:rFonts w:ascii="Arial" w:eastAsia="Times New Roman" w:hAnsi="Arial" w:cs="Arial"/>
                <w:sz w:val="16"/>
                <w:szCs w:val="16"/>
              </w:rPr>
              <w:t>Empréstimos e 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624E396" w14:textId="77777777" w:rsidR="00BA3275" w:rsidRDefault="00000000">
            <w:pPr>
              <w:jc w:val="right"/>
              <w:rPr>
                <w:rFonts w:eastAsia="Times New Roman"/>
              </w:rPr>
            </w:pPr>
            <w:r>
              <w:rPr>
                <w:rFonts w:ascii="Arial" w:eastAsia="Times New Roman" w:hAnsi="Arial" w:cs="Arial"/>
                <w:sz w:val="16"/>
                <w:szCs w:val="16"/>
              </w:rPr>
              <w:t>30.750.555,59</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BC5A3" w14:textId="77777777" w:rsidR="00BA3275" w:rsidRDefault="00000000">
            <w:pPr>
              <w:jc w:val="right"/>
              <w:rPr>
                <w:rFonts w:eastAsia="Times New Roman"/>
              </w:rPr>
            </w:pPr>
            <w:r>
              <w:rPr>
                <w:rFonts w:ascii="Arial" w:eastAsia="Times New Roman" w:hAnsi="Arial" w:cs="Arial"/>
                <w:sz w:val="16"/>
                <w:szCs w:val="16"/>
              </w:rPr>
              <w:t>48.673.265,05</w:t>
            </w:r>
          </w:p>
        </w:tc>
        <w:tc>
          <w:tcPr>
            <w:tcW w:w="0" w:type="auto"/>
            <w:tcBorders>
              <w:top w:val="outset" w:sz="6" w:space="0" w:color="auto"/>
              <w:left w:val="outset" w:sz="6" w:space="0" w:color="auto"/>
              <w:bottom w:val="outset" w:sz="6" w:space="0" w:color="auto"/>
              <w:right w:val="outset" w:sz="6" w:space="0" w:color="auto"/>
            </w:tcBorders>
            <w:vAlign w:val="center"/>
            <w:hideMark/>
          </w:tcPr>
          <w:p w14:paraId="5019D761" w14:textId="77777777" w:rsidR="00BA3275" w:rsidRDefault="00000000">
            <w:pPr>
              <w:jc w:val="right"/>
              <w:rPr>
                <w:rFonts w:eastAsia="Times New Roman"/>
              </w:rPr>
            </w:pPr>
            <w:r>
              <w:rPr>
                <w:rFonts w:ascii="Arial" w:eastAsia="Times New Roman" w:hAnsi="Arial" w:cs="Arial"/>
                <w:sz w:val="16"/>
                <w:szCs w:val="16"/>
              </w:rPr>
              <w:t>55.589.782,20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6883ED" w14:textId="77777777" w:rsidR="00BA3275" w:rsidRDefault="00000000">
            <w:pPr>
              <w:jc w:val="right"/>
              <w:rPr>
                <w:rFonts w:eastAsia="Times New Roman"/>
              </w:rPr>
            </w:pPr>
            <w:r>
              <w:rPr>
                <w:rFonts w:ascii="Arial" w:eastAsia="Times New Roman" w:hAnsi="Arial" w:cs="Arial"/>
                <w:sz w:val="16"/>
                <w:szCs w:val="16"/>
              </w:rPr>
              <w:t>135.013.602,84</w:t>
            </w:r>
          </w:p>
        </w:tc>
      </w:tr>
      <w:tr w:rsidR="00BA3275" w14:paraId="1031610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554920D" w14:textId="77777777" w:rsidR="00BA3275" w:rsidRDefault="00000000">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873C1CF" w14:textId="77777777" w:rsidR="00BA3275" w:rsidRDefault="00000000">
            <w:pPr>
              <w:jc w:val="right"/>
              <w:rPr>
                <w:rFonts w:eastAsia="Times New Roman"/>
              </w:rPr>
            </w:pPr>
            <w:r>
              <w:rPr>
                <w:rFonts w:ascii="Arial" w:eastAsia="Times New Roman" w:hAnsi="Arial" w:cs="Arial"/>
                <w:sz w:val="16"/>
                <w:szCs w:val="16"/>
              </w:rPr>
              <w:t>5.699.426,13</w:t>
            </w:r>
          </w:p>
        </w:tc>
        <w:tc>
          <w:tcPr>
            <w:tcW w:w="0" w:type="auto"/>
            <w:tcBorders>
              <w:top w:val="outset" w:sz="6" w:space="0" w:color="auto"/>
              <w:left w:val="outset" w:sz="6" w:space="0" w:color="auto"/>
              <w:bottom w:val="outset" w:sz="6" w:space="0" w:color="auto"/>
              <w:right w:val="outset" w:sz="6" w:space="0" w:color="auto"/>
            </w:tcBorders>
            <w:vAlign w:val="center"/>
            <w:hideMark/>
          </w:tcPr>
          <w:p w14:paraId="5BDEE7CE" w14:textId="77777777" w:rsidR="00BA3275" w:rsidRDefault="00000000">
            <w:pPr>
              <w:jc w:val="right"/>
              <w:rPr>
                <w:rFonts w:eastAsia="Times New Roman"/>
              </w:rPr>
            </w:pPr>
            <w:r>
              <w:rPr>
                <w:rFonts w:ascii="Arial" w:eastAsia="Times New Roman" w:hAnsi="Arial" w:cs="Arial"/>
                <w:sz w:val="16"/>
                <w:szCs w:val="16"/>
              </w:rPr>
              <w:t>19.420.620,58</w:t>
            </w:r>
          </w:p>
        </w:tc>
        <w:tc>
          <w:tcPr>
            <w:tcW w:w="0" w:type="auto"/>
            <w:tcBorders>
              <w:top w:val="outset" w:sz="6" w:space="0" w:color="auto"/>
              <w:left w:val="outset" w:sz="6" w:space="0" w:color="auto"/>
              <w:bottom w:val="outset" w:sz="6" w:space="0" w:color="auto"/>
              <w:right w:val="outset" w:sz="6" w:space="0" w:color="auto"/>
            </w:tcBorders>
            <w:vAlign w:val="center"/>
            <w:hideMark/>
          </w:tcPr>
          <w:p w14:paraId="116FC03A" w14:textId="77777777" w:rsidR="00BA3275" w:rsidRDefault="00000000">
            <w:pPr>
              <w:jc w:val="right"/>
              <w:rPr>
                <w:rFonts w:eastAsia="Times New Roman"/>
              </w:rPr>
            </w:pPr>
            <w:r>
              <w:rPr>
                <w:rFonts w:ascii="Arial" w:eastAsia="Times New Roman" w:hAnsi="Arial" w:cs="Arial"/>
                <w:sz w:val="16"/>
                <w:szCs w:val="16"/>
              </w:rPr>
              <w:t>57.637.507,19</w:t>
            </w:r>
          </w:p>
        </w:tc>
        <w:tc>
          <w:tcPr>
            <w:tcW w:w="0" w:type="auto"/>
            <w:tcBorders>
              <w:top w:val="outset" w:sz="6" w:space="0" w:color="auto"/>
              <w:left w:val="outset" w:sz="6" w:space="0" w:color="auto"/>
              <w:bottom w:val="outset" w:sz="6" w:space="0" w:color="auto"/>
              <w:right w:val="outset" w:sz="6" w:space="0" w:color="auto"/>
            </w:tcBorders>
            <w:vAlign w:val="center"/>
            <w:hideMark/>
          </w:tcPr>
          <w:p w14:paraId="072E2440" w14:textId="77777777" w:rsidR="00BA3275" w:rsidRDefault="00000000">
            <w:pPr>
              <w:jc w:val="right"/>
              <w:rPr>
                <w:rFonts w:eastAsia="Times New Roman"/>
              </w:rPr>
            </w:pPr>
            <w:r>
              <w:rPr>
                <w:rFonts w:ascii="Arial" w:eastAsia="Times New Roman" w:hAnsi="Arial" w:cs="Arial"/>
                <w:sz w:val="16"/>
                <w:szCs w:val="16"/>
              </w:rPr>
              <w:t>82.757.553,90</w:t>
            </w:r>
          </w:p>
        </w:tc>
      </w:tr>
      <w:tr w:rsidR="00BA3275" w14:paraId="33C1AD3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164F33B" w14:textId="77777777" w:rsidR="00BA3275" w:rsidRDefault="00000000">
            <w:pPr>
              <w:rPr>
                <w:rFonts w:eastAsia="Times New Roman"/>
              </w:rPr>
            </w:pPr>
            <w:r>
              <w:rPr>
                <w:rFonts w:ascii="Arial" w:eastAsia="Times New Roman"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41186" w14:textId="77777777" w:rsidR="00BA3275" w:rsidRDefault="00000000">
            <w:pPr>
              <w:jc w:val="right"/>
              <w:rPr>
                <w:rFonts w:eastAsia="Times New Roman"/>
              </w:rPr>
            </w:pPr>
            <w:r>
              <w:rPr>
                <w:rFonts w:ascii="Arial" w:eastAsia="Times New Roman" w:hAnsi="Arial" w:cs="Arial"/>
                <w:sz w:val="16"/>
                <w:szCs w:val="16"/>
              </w:rPr>
              <w:t>72.626.462,30</w:t>
            </w:r>
          </w:p>
        </w:tc>
        <w:tc>
          <w:tcPr>
            <w:tcW w:w="0" w:type="auto"/>
            <w:tcBorders>
              <w:top w:val="outset" w:sz="6" w:space="0" w:color="auto"/>
              <w:left w:val="outset" w:sz="6" w:space="0" w:color="auto"/>
              <w:bottom w:val="outset" w:sz="6" w:space="0" w:color="auto"/>
              <w:right w:val="outset" w:sz="6" w:space="0" w:color="auto"/>
            </w:tcBorders>
            <w:vAlign w:val="center"/>
            <w:hideMark/>
          </w:tcPr>
          <w:p w14:paraId="6AB11B84" w14:textId="77777777" w:rsidR="00BA3275" w:rsidRDefault="00000000">
            <w:pPr>
              <w:jc w:val="right"/>
              <w:rPr>
                <w:rFonts w:eastAsia="Times New Roman"/>
              </w:rPr>
            </w:pPr>
            <w:r>
              <w:rPr>
                <w:rFonts w:ascii="Arial" w:eastAsia="Times New Roman" w:hAnsi="Arial" w:cs="Arial"/>
                <w:sz w:val="16"/>
                <w:szCs w:val="16"/>
              </w:rPr>
              <w:t>231.091.233,93</w:t>
            </w:r>
          </w:p>
        </w:tc>
        <w:tc>
          <w:tcPr>
            <w:tcW w:w="0" w:type="auto"/>
            <w:tcBorders>
              <w:top w:val="outset" w:sz="6" w:space="0" w:color="auto"/>
              <w:left w:val="outset" w:sz="6" w:space="0" w:color="auto"/>
              <w:bottom w:val="outset" w:sz="6" w:space="0" w:color="auto"/>
              <w:right w:val="outset" w:sz="6" w:space="0" w:color="auto"/>
            </w:tcBorders>
            <w:vAlign w:val="center"/>
            <w:hideMark/>
          </w:tcPr>
          <w:p w14:paraId="27798EFD" w14:textId="77777777" w:rsidR="00BA3275" w:rsidRDefault="00000000">
            <w:pPr>
              <w:jc w:val="right"/>
              <w:rPr>
                <w:rFonts w:eastAsia="Times New Roman"/>
              </w:rPr>
            </w:pPr>
            <w:r>
              <w:rPr>
                <w:rFonts w:ascii="Arial" w:eastAsia="Times New Roman" w:hAnsi="Arial" w:cs="Arial"/>
                <w:sz w:val="16"/>
                <w:szCs w:val="16"/>
              </w:rPr>
              <w:t>57.620.322,98</w:t>
            </w:r>
          </w:p>
        </w:tc>
        <w:tc>
          <w:tcPr>
            <w:tcW w:w="0" w:type="auto"/>
            <w:tcBorders>
              <w:top w:val="outset" w:sz="6" w:space="0" w:color="auto"/>
              <w:left w:val="outset" w:sz="6" w:space="0" w:color="auto"/>
              <w:bottom w:val="outset" w:sz="6" w:space="0" w:color="auto"/>
              <w:right w:val="outset" w:sz="6" w:space="0" w:color="auto"/>
            </w:tcBorders>
            <w:vAlign w:val="center"/>
            <w:hideMark/>
          </w:tcPr>
          <w:p w14:paraId="7D6F594C" w14:textId="77777777" w:rsidR="00BA3275" w:rsidRDefault="00000000">
            <w:pPr>
              <w:jc w:val="right"/>
              <w:rPr>
                <w:rFonts w:eastAsia="Times New Roman"/>
              </w:rPr>
            </w:pPr>
            <w:r>
              <w:rPr>
                <w:rFonts w:ascii="Arial" w:eastAsia="Times New Roman" w:hAnsi="Arial" w:cs="Arial"/>
                <w:sz w:val="16"/>
                <w:szCs w:val="16"/>
              </w:rPr>
              <w:t>361.338.019,21</w:t>
            </w:r>
          </w:p>
        </w:tc>
      </w:tr>
      <w:tr w:rsidR="00BA3275" w14:paraId="5E66BC9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81E4948" w14:textId="77777777" w:rsidR="00BA3275" w:rsidRDefault="00000000">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EE1B23" w14:textId="77777777" w:rsidR="00BA3275" w:rsidRDefault="00000000">
            <w:pPr>
              <w:jc w:val="right"/>
              <w:rPr>
                <w:rFonts w:eastAsia="Times New Roman"/>
              </w:rPr>
            </w:pPr>
            <w:r>
              <w:rPr>
                <w:rFonts w:ascii="Arial" w:eastAsia="Times New Roman" w:hAnsi="Arial" w:cs="Arial"/>
                <w:b/>
                <w:bCs/>
                <w:sz w:val="16"/>
                <w:szCs w:val="16"/>
              </w:rPr>
              <w:t>109.076.444,02</w:t>
            </w:r>
          </w:p>
        </w:tc>
        <w:tc>
          <w:tcPr>
            <w:tcW w:w="0" w:type="auto"/>
            <w:tcBorders>
              <w:top w:val="outset" w:sz="6" w:space="0" w:color="auto"/>
              <w:left w:val="outset" w:sz="6" w:space="0" w:color="auto"/>
              <w:bottom w:val="outset" w:sz="6" w:space="0" w:color="auto"/>
              <w:right w:val="outset" w:sz="6" w:space="0" w:color="auto"/>
            </w:tcBorders>
            <w:vAlign w:val="center"/>
            <w:hideMark/>
          </w:tcPr>
          <w:p w14:paraId="4593C83C" w14:textId="77777777" w:rsidR="00BA3275" w:rsidRDefault="00000000">
            <w:pPr>
              <w:jc w:val="right"/>
              <w:rPr>
                <w:rFonts w:eastAsia="Times New Roman"/>
              </w:rPr>
            </w:pPr>
            <w:r>
              <w:rPr>
                <w:rFonts w:ascii="Arial" w:eastAsia="Times New Roman" w:hAnsi="Arial" w:cs="Arial"/>
                <w:b/>
                <w:bCs/>
                <w:sz w:val="16"/>
                <w:szCs w:val="16"/>
              </w:rPr>
              <w:t>299.185.119,56</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57A51" w14:textId="77777777" w:rsidR="00BA3275" w:rsidRDefault="00000000">
            <w:pPr>
              <w:jc w:val="right"/>
              <w:rPr>
                <w:rFonts w:eastAsia="Times New Roman"/>
              </w:rPr>
            </w:pPr>
            <w:r>
              <w:rPr>
                <w:rFonts w:ascii="Arial" w:eastAsia="Times New Roman" w:hAnsi="Arial" w:cs="Arial"/>
                <w:b/>
                <w:bCs/>
                <w:sz w:val="16"/>
                <w:szCs w:val="16"/>
              </w:rPr>
              <w:t>170.847.612,37</w:t>
            </w:r>
          </w:p>
        </w:tc>
        <w:tc>
          <w:tcPr>
            <w:tcW w:w="0" w:type="auto"/>
            <w:tcBorders>
              <w:top w:val="outset" w:sz="6" w:space="0" w:color="auto"/>
              <w:left w:val="outset" w:sz="6" w:space="0" w:color="auto"/>
              <w:bottom w:val="outset" w:sz="6" w:space="0" w:color="auto"/>
              <w:right w:val="outset" w:sz="6" w:space="0" w:color="auto"/>
            </w:tcBorders>
            <w:vAlign w:val="center"/>
            <w:hideMark/>
          </w:tcPr>
          <w:p w14:paraId="22E24B12" w14:textId="77777777" w:rsidR="00BA3275" w:rsidRDefault="00000000">
            <w:pPr>
              <w:jc w:val="right"/>
              <w:rPr>
                <w:rFonts w:eastAsia="Times New Roman"/>
              </w:rPr>
            </w:pPr>
            <w:r>
              <w:rPr>
                <w:rFonts w:ascii="Arial" w:eastAsia="Times New Roman" w:hAnsi="Arial" w:cs="Arial"/>
                <w:b/>
                <w:bCs/>
                <w:sz w:val="16"/>
                <w:szCs w:val="16"/>
              </w:rPr>
              <w:t>579.109.175,95</w:t>
            </w:r>
          </w:p>
        </w:tc>
      </w:tr>
    </w:tbl>
    <w:p w14:paraId="1EE05C93" w14:textId="48173938" w:rsidR="00BA3275" w:rsidRDefault="00000000">
      <w:pPr>
        <w:pStyle w:val="NormalWeb"/>
      </w:pPr>
      <w:r>
        <w:rPr>
          <w:rFonts w:ascii="Arial" w:hAnsi="Arial" w:cs="Arial"/>
          <w:b/>
          <w:bCs/>
          <w:sz w:val="20"/>
          <w:szCs w:val="20"/>
        </w:rPr>
        <w:t>6.</w:t>
      </w:r>
      <w:r w:rsidR="00991889">
        <w:rPr>
          <w:rFonts w:ascii="Arial" w:hAnsi="Arial" w:cs="Arial"/>
          <w:b/>
          <w:bCs/>
          <w:sz w:val="20"/>
          <w:szCs w:val="20"/>
        </w:rPr>
        <w:t>8</w:t>
      </w:r>
      <w:r>
        <w:rPr>
          <w:rFonts w:ascii="Arial" w:hAnsi="Arial" w:cs="Arial"/>
          <w:b/>
          <w:bCs/>
          <w:sz w:val="20"/>
          <w:szCs w:val="20"/>
        </w:rPr>
        <w:t xml:space="preserve"> Composição da Carteira de Crédito por Tipo de Produto, Cliente e Atividade Econômica</w:t>
      </w:r>
    </w:p>
    <w:tbl>
      <w:tblPr>
        <w:tblW w:w="5000" w:type="pct"/>
        <w:tblCellMar>
          <w:left w:w="0" w:type="dxa"/>
          <w:right w:w="0" w:type="dxa"/>
        </w:tblCellMar>
        <w:tblLook w:val="04A0" w:firstRow="1" w:lastRow="0" w:firstColumn="1" w:lastColumn="0" w:noHBand="0" w:noVBand="1"/>
      </w:tblPr>
      <w:tblGrid>
        <w:gridCol w:w="2142"/>
        <w:gridCol w:w="1521"/>
        <w:gridCol w:w="1353"/>
        <w:gridCol w:w="1994"/>
        <w:gridCol w:w="1385"/>
        <w:gridCol w:w="1227"/>
      </w:tblGrid>
      <w:tr w:rsidR="00BA3275" w14:paraId="15D7E16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04C448D" w14:textId="77777777" w:rsidR="00BA3275"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8EEA433" w14:textId="77777777" w:rsidR="00BA3275" w:rsidRDefault="00000000">
            <w:pPr>
              <w:jc w:val="center"/>
              <w:rPr>
                <w:rFonts w:eastAsia="Times New Roman"/>
              </w:rPr>
            </w:pPr>
            <w:r>
              <w:rPr>
                <w:rFonts w:ascii="Arial" w:eastAsia="Times New Roman" w:hAnsi="Arial" w:cs="Arial"/>
                <w:b/>
                <w:bCs/>
                <w:sz w:val="16"/>
                <w:szCs w:val="16"/>
              </w:rPr>
              <w:t>Empréstimos/TD</w:t>
            </w:r>
          </w:p>
        </w:tc>
        <w:tc>
          <w:tcPr>
            <w:tcW w:w="0" w:type="auto"/>
            <w:tcBorders>
              <w:top w:val="outset" w:sz="6" w:space="0" w:color="auto"/>
              <w:left w:val="outset" w:sz="6" w:space="0" w:color="auto"/>
              <w:bottom w:val="outset" w:sz="6" w:space="0" w:color="auto"/>
              <w:right w:val="outset" w:sz="6" w:space="0" w:color="auto"/>
            </w:tcBorders>
            <w:vAlign w:val="center"/>
            <w:hideMark/>
          </w:tcPr>
          <w:p w14:paraId="661DFD3C" w14:textId="77777777" w:rsidR="00BA3275" w:rsidRDefault="00000000">
            <w:pPr>
              <w:jc w:val="center"/>
              <w:rPr>
                <w:rFonts w:eastAsia="Times New Roman"/>
              </w:rPr>
            </w:pPr>
            <w:r>
              <w:rPr>
                <w:rFonts w:ascii="Arial" w:eastAsia="Times New Roman" w:hAnsi="Arial" w:cs="Arial"/>
                <w:b/>
                <w:bCs/>
                <w:sz w:val="16"/>
                <w:szCs w:val="16"/>
              </w:rPr>
              <w:t>Financiamento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788D64B" w14:textId="77777777" w:rsidR="00BA3275" w:rsidRDefault="00000000">
            <w:pPr>
              <w:jc w:val="center"/>
              <w:rPr>
                <w:rFonts w:eastAsia="Times New Roman"/>
              </w:rPr>
            </w:pPr>
            <w:r>
              <w:rPr>
                <w:rFonts w:ascii="Arial" w:eastAsia="Times New Roman" w:hAnsi="Arial" w:cs="Arial"/>
                <w:b/>
                <w:bCs/>
                <w:sz w:val="16"/>
                <w:szCs w:val="16"/>
              </w:rPr>
              <w:t>Financiamento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791B983" w14:textId="77777777" w:rsidR="00BA3275" w:rsidRDefault="00000000">
            <w:pPr>
              <w:jc w:val="center"/>
              <w:rPr>
                <w:rFonts w:eastAsia="Times New Roman"/>
              </w:rPr>
            </w:pPr>
            <w:r>
              <w:rPr>
                <w:rFonts w:ascii="Arial" w:eastAsia="Times New Roman" w:hAnsi="Arial" w:cs="Arial"/>
                <w:b/>
                <w:bCs/>
                <w:sz w:val="16"/>
                <w:szCs w:val="16"/>
              </w:rPr>
              <w:t>30/06/2025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C86AE42" w14:textId="77777777" w:rsidR="00BA3275" w:rsidRDefault="00000000">
            <w:pPr>
              <w:jc w:val="center"/>
              <w:rPr>
                <w:rFonts w:eastAsia="Times New Roman"/>
              </w:rPr>
            </w:pPr>
            <w:r>
              <w:rPr>
                <w:rFonts w:ascii="Arial" w:eastAsia="Times New Roman" w:hAnsi="Arial" w:cs="Arial"/>
                <w:b/>
                <w:bCs/>
                <w:sz w:val="16"/>
                <w:szCs w:val="16"/>
              </w:rPr>
              <w:t>% da Carteira</w:t>
            </w:r>
          </w:p>
        </w:tc>
      </w:tr>
      <w:tr w:rsidR="00BA3275" w14:paraId="0FF2E19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5EE4A6A" w14:textId="77777777" w:rsidR="00BA3275" w:rsidRDefault="00000000">
            <w:pPr>
              <w:rPr>
                <w:rFonts w:eastAsia="Times New Roman"/>
              </w:rPr>
            </w:pPr>
            <w:r>
              <w:rPr>
                <w:rFonts w:ascii="Arial" w:eastAsia="Times New Roman" w:hAnsi="Arial" w:cs="Arial"/>
                <w:sz w:val="16"/>
                <w:szCs w:val="16"/>
              </w:rPr>
              <w:t>Setor Privado - Comércio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71A987DE" w14:textId="77777777" w:rsidR="00BA3275" w:rsidRDefault="00000000">
            <w:pPr>
              <w:jc w:val="right"/>
              <w:rPr>
                <w:rFonts w:eastAsia="Times New Roman"/>
              </w:rPr>
            </w:pPr>
            <w:r>
              <w:rPr>
                <w:rFonts w:ascii="Arial" w:eastAsia="Times New Roman" w:hAnsi="Arial" w:cs="Arial"/>
                <w:sz w:val="16"/>
                <w:szCs w:val="16"/>
              </w:rPr>
              <w:t>9.681.221,15</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E34CE" w14:textId="77777777" w:rsidR="00BA3275" w:rsidRDefault="00000000">
            <w:pPr>
              <w:jc w:val="right"/>
              <w:rPr>
                <w:rFonts w:eastAsia="Times New Roman"/>
              </w:rPr>
            </w:pPr>
            <w:r>
              <w:rPr>
                <w:rFonts w:ascii="Arial" w:eastAsia="Times New Roman" w:hAnsi="Arial" w:cs="Arial"/>
                <w:sz w:val="16"/>
                <w:szCs w:val="16"/>
              </w:rPr>
              <w:t>9.612.044,58</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C7EB3" w14:textId="77777777" w:rsidR="00BA3275" w:rsidRDefault="00000000">
            <w:pPr>
              <w:jc w:val="right"/>
              <w:rPr>
                <w:rFonts w:eastAsia="Times New Roman"/>
              </w:rPr>
            </w:pPr>
            <w:r>
              <w:rPr>
                <w:rFonts w:ascii="Arial" w:eastAsia="Times New Roman" w:hAnsi="Arial" w:cs="Arial"/>
                <w:sz w:val="16"/>
                <w:szCs w:val="16"/>
              </w:rPr>
              <w:t>5.585.719,39</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59E3F" w14:textId="77777777" w:rsidR="00BA3275" w:rsidRDefault="00000000">
            <w:pPr>
              <w:jc w:val="right"/>
              <w:rPr>
                <w:rFonts w:eastAsia="Times New Roman"/>
              </w:rPr>
            </w:pPr>
            <w:r>
              <w:rPr>
                <w:rFonts w:ascii="Arial" w:eastAsia="Times New Roman" w:hAnsi="Arial" w:cs="Arial"/>
                <w:sz w:val="16"/>
                <w:szCs w:val="16"/>
              </w:rPr>
              <w:t>24.878.985,12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234D598" w14:textId="77777777" w:rsidR="00BA3275" w:rsidRDefault="00000000">
            <w:pPr>
              <w:jc w:val="right"/>
              <w:rPr>
                <w:rFonts w:eastAsia="Times New Roman"/>
              </w:rPr>
            </w:pPr>
            <w:r>
              <w:rPr>
                <w:rFonts w:ascii="Arial" w:eastAsia="Times New Roman" w:hAnsi="Arial" w:cs="Arial"/>
                <w:sz w:val="16"/>
                <w:szCs w:val="16"/>
              </w:rPr>
              <w:t>4,30%</w:t>
            </w:r>
          </w:p>
        </w:tc>
      </w:tr>
      <w:tr w:rsidR="00BA3275" w14:paraId="1F7E7DE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3C6231E" w14:textId="77777777" w:rsidR="00BA3275" w:rsidRDefault="00000000">
            <w:pPr>
              <w:rPr>
                <w:rFonts w:eastAsia="Times New Roman"/>
              </w:rPr>
            </w:pPr>
            <w:r>
              <w:rPr>
                <w:rFonts w:ascii="Arial" w:eastAsia="Times New Roman" w:hAnsi="Arial" w:cs="Arial"/>
                <w:sz w:val="16"/>
                <w:szCs w:val="16"/>
              </w:rPr>
              <w:t>Setor Privado - Indústria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E22FF" w14:textId="77777777" w:rsidR="00BA3275" w:rsidRDefault="00000000">
            <w:pPr>
              <w:jc w:val="right"/>
              <w:rPr>
                <w:rFonts w:eastAsia="Times New Roman"/>
              </w:rPr>
            </w:pPr>
            <w:r>
              <w:rPr>
                <w:rFonts w:ascii="Arial" w:eastAsia="Times New Roman" w:hAnsi="Arial" w:cs="Arial"/>
                <w:sz w:val="16"/>
                <w:szCs w:val="16"/>
              </w:rPr>
              <w:t>3.701.960,73</w:t>
            </w:r>
          </w:p>
        </w:tc>
        <w:tc>
          <w:tcPr>
            <w:tcW w:w="0" w:type="auto"/>
            <w:tcBorders>
              <w:top w:val="outset" w:sz="6" w:space="0" w:color="auto"/>
              <w:left w:val="outset" w:sz="6" w:space="0" w:color="auto"/>
              <w:bottom w:val="outset" w:sz="6" w:space="0" w:color="auto"/>
              <w:right w:val="outset" w:sz="6" w:space="0" w:color="auto"/>
            </w:tcBorders>
            <w:vAlign w:val="center"/>
            <w:hideMark/>
          </w:tcPr>
          <w:p w14:paraId="51D15618" w14:textId="77777777" w:rsidR="00BA3275" w:rsidRDefault="00000000" w:rsidP="00991889">
            <w:pPr>
              <w:jc w:val="right"/>
              <w:rPr>
                <w:rFonts w:eastAsia="Times New Roman"/>
              </w:rPr>
            </w:pPr>
            <w:r>
              <w:rPr>
                <w:rFonts w:ascii="Arial" w:eastAsia="Times New Roman" w:hAnsi="Arial" w:cs="Arial"/>
                <w:sz w:val="16"/>
                <w:szCs w:val="16"/>
              </w:rPr>
              <w:t>8.879.959,95</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0BF2B" w14:textId="77777777" w:rsidR="00BA3275" w:rsidRDefault="00000000" w:rsidP="0099188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712B667" w14:textId="77777777" w:rsidR="00BA3275" w:rsidRDefault="00000000" w:rsidP="00991889">
            <w:pPr>
              <w:jc w:val="right"/>
              <w:rPr>
                <w:rFonts w:eastAsia="Times New Roman"/>
              </w:rPr>
            </w:pPr>
            <w:r>
              <w:rPr>
                <w:rFonts w:ascii="Arial" w:eastAsia="Times New Roman" w:hAnsi="Arial" w:cs="Arial"/>
                <w:sz w:val="16"/>
                <w:szCs w:val="16"/>
              </w:rPr>
              <w:t>12.581.920,68</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C68D6" w14:textId="77777777" w:rsidR="00BA3275" w:rsidRDefault="00000000">
            <w:pPr>
              <w:jc w:val="right"/>
              <w:rPr>
                <w:rFonts w:eastAsia="Times New Roman"/>
              </w:rPr>
            </w:pPr>
            <w:r>
              <w:rPr>
                <w:rFonts w:ascii="Arial" w:eastAsia="Times New Roman" w:hAnsi="Arial" w:cs="Arial"/>
                <w:sz w:val="16"/>
                <w:szCs w:val="16"/>
              </w:rPr>
              <w:t>2,17%</w:t>
            </w:r>
          </w:p>
        </w:tc>
      </w:tr>
      <w:tr w:rsidR="00BA3275" w14:paraId="406DFE8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2B20966" w14:textId="77777777" w:rsidR="00BA3275" w:rsidRDefault="00000000">
            <w:pPr>
              <w:rPr>
                <w:rFonts w:eastAsia="Times New Roman"/>
              </w:rPr>
            </w:pPr>
            <w:r>
              <w:rPr>
                <w:rFonts w:ascii="Arial" w:eastAsia="Times New Roman" w:hAnsi="Arial" w:cs="Arial"/>
                <w:sz w:val="16"/>
                <w:szCs w:val="16"/>
              </w:rPr>
              <w:t>Setor Privado -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1F6426" w14:textId="77777777" w:rsidR="00BA3275" w:rsidRDefault="00000000">
            <w:pPr>
              <w:jc w:val="right"/>
              <w:rPr>
                <w:rFonts w:eastAsia="Times New Roman"/>
              </w:rPr>
            </w:pPr>
            <w:r>
              <w:rPr>
                <w:rFonts w:ascii="Arial" w:eastAsia="Times New Roman" w:hAnsi="Arial" w:cs="Arial"/>
                <w:sz w:val="16"/>
                <w:szCs w:val="16"/>
              </w:rPr>
              <w:t>28.490.774,45</w:t>
            </w:r>
          </w:p>
        </w:tc>
        <w:tc>
          <w:tcPr>
            <w:tcW w:w="0" w:type="auto"/>
            <w:tcBorders>
              <w:top w:val="outset" w:sz="6" w:space="0" w:color="auto"/>
              <w:left w:val="outset" w:sz="6" w:space="0" w:color="auto"/>
              <w:bottom w:val="outset" w:sz="6" w:space="0" w:color="auto"/>
              <w:right w:val="outset" w:sz="6" w:space="0" w:color="auto"/>
            </w:tcBorders>
            <w:vAlign w:val="center"/>
            <w:hideMark/>
          </w:tcPr>
          <w:p w14:paraId="3651D455" w14:textId="77777777" w:rsidR="00BA3275" w:rsidRDefault="00000000" w:rsidP="00991889">
            <w:pPr>
              <w:jc w:val="right"/>
              <w:rPr>
                <w:rFonts w:eastAsia="Times New Roman"/>
              </w:rPr>
            </w:pPr>
            <w:r>
              <w:rPr>
                <w:rFonts w:ascii="Arial" w:eastAsia="Times New Roman" w:hAnsi="Arial" w:cs="Arial"/>
                <w:sz w:val="16"/>
                <w:szCs w:val="16"/>
              </w:rPr>
              <w:t>31.795.960,09</w:t>
            </w:r>
          </w:p>
        </w:tc>
        <w:tc>
          <w:tcPr>
            <w:tcW w:w="0" w:type="auto"/>
            <w:tcBorders>
              <w:top w:val="outset" w:sz="6" w:space="0" w:color="auto"/>
              <w:left w:val="outset" w:sz="6" w:space="0" w:color="auto"/>
              <w:bottom w:val="outset" w:sz="6" w:space="0" w:color="auto"/>
              <w:right w:val="outset" w:sz="6" w:space="0" w:color="auto"/>
            </w:tcBorders>
            <w:vAlign w:val="center"/>
            <w:hideMark/>
          </w:tcPr>
          <w:p w14:paraId="7C4B8223" w14:textId="77777777" w:rsidR="00BA3275" w:rsidRDefault="00000000" w:rsidP="00991889">
            <w:pPr>
              <w:jc w:val="right"/>
              <w:rPr>
                <w:rFonts w:eastAsia="Times New Roman"/>
              </w:rPr>
            </w:pPr>
            <w:r>
              <w:rPr>
                <w:rFonts w:ascii="Arial" w:eastAsia="Times New Roman" w:hAnsi="Arial" w:cs="Arial"/>
                <w:sz w:val="16"/>
                <w:szCs w:val="16"/>
              </w:rPr>
              <w:t>13.799.106,25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7CC80EE" w14:textId="77777777" w:rsidR="00BA3275" w:rsidRDefault="00000000" w:rsidP="00991889">
            <w:pPr>
              <w:jc w:val="right"/>
              <w:rPr>
                <w:rFonts w:eastAsia="Times New Roman"/>
              </w:rPr>
            </w:pPr>
            <w:r>
              <w:rPr>
                <w:rFonts w:ascii="Arial" w:eastAsia="Times New Roman" w:hAnsi="Arial" w:cs="Arial"/>
                <w:sz w:val="16"/>
                <w:szCs w:val="16"/>
              </w:rPr>
              <w:t>74.085.840,79</w:t>
            </w:r>
          </w:p>
        </w:tc>
        <w:tc>
          <w:tcPr>
            <w:tcW w:w="0" w:type="auto"/>
            <w:tcBorders>
              <w:top w:val="outset" w:sz="6" w:space="0" w:color="auto"/>
              <w:left w:val="outset" w:sz="6" w:space="0" w:color="auto"/>
              <w:bottom w:val="outset" w:sz="6" w:space="0" w:color="auto"/>
              <w:right w:val="outset" w:sz="6" w:space="0" w:color="auto"/>
            </w:tcBorders>
            <w:vAlign w:val="center"/>
            <w:hideMark/>
          </w:tcPr>
          <w:p w14:paraId="7B7B335A" w14:textId="77777777" w:rsidR="00BA3275" w:rsidRDefault="00000000">
            <w:pPr>
              <w:jc w:val="right"/>
              <w:rPr>
                <w:rFonts w:eastAsia="Times New Roman"/>
              </w:rPr>
            </w:pPr>
            <w:r>
              <w:rPr>
                <w:rFonts w:ascii="Arial" w:eastAsia="Times New Roman" w:hAnsi="Arial" w:cs="Arial"/>
                <w:sz w:val="16"/>
                <w:szCs w:val="16"/>
              </w:rPr>
              <w:t>12,79%</w:t>
            </w:r>
          </w:p>
        </w:tc>
      </w:tr>
      <w:tr w:rsidR="00991889" w14:paraId="3DD696F7" w14:textId="77777777" w:rsidTr="000739A2">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6C9699D" w14:textId="77777777" w:rsidR="00991889" w:rsidRDefault="00991889" w:rsidP="00991889">
            <w:pPr>
              <w:rPr>
                <w:rFonts w:eastAsia="Times New Roman"/>
              </w:rPr>
            </w:pPr>
            <w:r>
              <w:rPr>
                <w:rFonts w:ascii="Arial" w:eastAsia="Times New Roman" w:hAnsi="Arial" w:cs="Arial"/>
                <w:sz w:val="16"/>
                <w:szCs w:val="16"/>
              </w:rPr>
              <w:t>Pessoa Física</w:t>
            </w:r>
          </w:p>
        </w:tc>
        <w:tc>
          <w:tcPr>
            <w:tcW w:w="0" w:type="auto"/>
            <w:tcBorders>
              <w:top w:val="outset" w:sz="6" w:space="0" w:color="auto"/>
              <w:left w:val="outset" w:sz="6" w:space="0" w:color="auto"/>
              <w:bottom w:val="outset" w:sz="6" w:space="0" w:color="auto"/>
              <w:right w:val="outset" w:sz="6" w:space="0" w:color="auto"/>
            </w:tcBorders>
            <w:hideMark/>
          </w:tcPr>
          <w:p w14:paraId="07E58235" w14:textId="7D21BA57" w:rsidR="00991889" w:rsidRPr="00991889" w:rsidRDefault="00991889" w:rsidP="00991889">
            <w:pPr>
              <w:jc w:val="right"/>
              <w:rPr>
                <w:rFonts w:ascii="Arial" w:eastAsia="Times New Roman" w:hAnsi="Arial" w:cs="Arial"/>
                <w:sz w:val="16"/>
                <w:szCs w:val="16"/>
              </w:rPr>
            </w:pPr>
            <w:r w:rsidRPr="00991889">
              <w:rPr>
                <w:rFonts w:ascii="Arial" w:eastAsia="Times New Roman" w:hAnsi="Arial" w:cs="Arial"/>
                <w:sz w:val="16"/>
                <w:szCs w:val="16"/>
              </w:rPr>
              <w:t xml:space="preserve"> 78.555.413,99 </w:t>
            </w:r>
          </w:p>
        </w:tc>
        <w:tc>
          <w:tcPr>
            <w:tcW w:w="0" w:type="auto"/>
            <w:tcBorders>
              <w:top w:val="outset" w:sz="6" w:space="0" w:color="auto"/>
              <w:left w:val="outset" w:sz="6" w:space="0" w:color="auto"/>
              <w:bottom w:val="outset" w:sz="6" w:space="0" w:color="auto"/>
              <w:right w:val="outset" w:sz="6" w:space="0" w:color="auto"/>
            </w:tcBorders>
            <w:hideMark/>
          </w:tcPr>
          <w:p w14:paraId="0AC0DA63" w14:textId="3D651EB4" w:rsidR="00991889" w:rsidRPr="00991889" w:rsidRDefault="00991889" w:rsidP="00991889">
            <w:pPr>
              <w:jc w:val="right"/>
              <w:rPr>
                <w:rFonts w:ascii="Arial" w:eastAsia="Times New Roman" w:hAnsi="Arial" w:cs="Arial"/>
                <w:sz w:val="16"/>
                <w:szCs w:val="16"/>
              </w:rPr>
            </w:pPr>
            <w:r w:rsidRPr="00991889">
              <w:rPr>
                <w:rFonts w:ascii="Arial" w:eastAsia="Times New Roman" w:hAnsi="Arial" w:cs="Arial"/>
                <w:sz w:val="16"/>
                <w:szCs w:val="16"/>
              </w:rPr>
              <w:t xml:space="preserve"> 31.933.755,70 </w:t>
            </w:r>
          </w:p>
        </w:tc>
        <w:tc>
          <w:tcPr>
            <w:tcW w:w="0" w:type="auto"/>
            <w:tcBorders>
              <w:top w:val="outset" w:sz="6" w:space="0" w:color="auto"/>
              <w:left w:val="outset" w:sz="6" w:space="0" w:color="auto"/>
              <w:bottom w:val="outset" w:sz="6" w:space="0" w:color="auto"/>
              <w:right w:val="outset" w:sz="6" w:space="0" w:color="auto"/>
            </w:tcBorders>
            <w:hideMark/>
          </w:tcPr>
          <w:p w14:paraId="2386C51C" w14:textId="204CF3E4" w:rsidR="00991889" w:rsidRPr="00991889" w:rsidRDefault="00991889" w:rsidP="00991889">
            <w:pPr>
              <w:jc w:val="right"/>
              <w:rPr>
                <w:rFonts w:ascii="Arial" w:eastAsia="Times New Roman" w:hAnsi="Arial" w:cs="Arial"/>
                <w:sz w:val="16"/>
                <w:szCs w:val="16"/>
              </w:rPr>
            </w:pPr>
            <w:r w:rsidRPr="00991889">
              <w:rPr>
                <w:rFonts w:ascii="Arial" w:eastAsia="Times New Roman" w:hAnsi="Arial" w:cs="Arial"/>
                <w:sz w:val="16"/>
                <w:szCs w:val="16"/>
              </w:rPr>
              <w:t xml:space="preserve"> 333.536.911,38 </w:t>
            </w:r>
          </w:p>
        </w:tc>
        <w:tc>
          <w:tcPr>
            <w:tcW w:w="0" w:type="auto"/>
            <w:tcBorders>
              <w:top w:val="outset" w:sz="6" w:space="0" w:color="auto"/>
              <w:left w:val="outset" w:sz="6" w:space="0" w:color="auto"/>
              <w:bottom w:val="outset" w:sz="6" w:space="0" w:color="auto"/>
              <w:right w:val="outset" w:sz="6" w:space="0" w:color="auto"/>
            </w:tcBorders>
            <w:hideMark/>
          </w:tcPr>
          <w:p w14:paraId="04447F0B" w14:textId="6BCA91A4" w:rsidR="00991889" w:rsidRPr="00991889" w:rsidRDefault="00991889" w:rsidP="00991889">
            <w:pPr>
              <w:jc w:val="right"/>
              <w:rPr>
                <w:rFonts w:ascii="Arial" w:eastAsia="Times New Roman" w:hAnsi="Arial" w:cs="Arial"/>
                <w:sz w:val="16"/>
                <w:szCs w:val="16"/>
              </w:rPr>
            </w:pPr>
            <w:r w:rsidRPr="00991889">
              <w:rPr>
                <w:rFonts w:ascii="Arial" w:eastAsia="Times New Roman" w:hAnsi="Arial" w:cs="Arial"/>
                <w:sz w:val="16"/>
                <w:szCs w:val="16"/>
              </w:rPr>
              <w:t xml:space="preserve"> 444.026.081,07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CA817E" w14:textId="77777777" w:rsidR="00991889" w:rsidRDefault="00991889" w:rsidP="00991889">
            <w:pPr>
              <w:jc w:val="right"/>
              <w:rPr>
                <w:rFonts w:eastAsia="Times New Roman"/>
              </w:rPr>
            </w:pPr>
            <w:r>
              <w:rPr>
                <w:rFonts w:ascii="Arial" w:eastAsia="Times New Roman" w:hAnsi="Arial" w:cs="Arial"/>
                <w:sz w:val="16"/>
                <w:szCs w:val="16"/>
              </w:rPr>
              <w:t>76,67%</w:t>
            </w:r>
          </w:p>
        </w:tc>
      </w:tr>
      <w:tr w:rsidR="00991889" w14:paraId="2C6E0038" w14:textId="77777777" w:rsidTr="000739A2">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C6A538D" w14:textId="77777777" w:rsidR="00991889" w:rsidRDefault="00991889" w:rsidP="00991889">
            <w:pPr>
              <w:rPr>
                <w:rFonts w:eastAsia="Times New Roman"/>
              </w:rPr>
            </w:pPr>
            <w:r>
              <w:rPr>
                <w:rFonts w:ascii="Arial" w:eastAsia="Times New Roman" w:hAnsi="Arial" w:cs="Arial"/>
                <w:sz w:val="16"/>
                <w:szCs w:val="16"/>
              </w:rPr>
              <w:t>Outros</w:t>
            </w:r>
          </w:p>
        </w:tc>
        <w:tc>
          <w:tcPr>
            <w:tcW w:w="0" w:type="auto"/>
            <w:tcBorders>
              <w:top w:val="outset" w:sz="6" w:space="0" w:color="auto"/>
              <w:left w:val="outset" w:sz="6" w:space="0" w:color="auto"/>
              <w:bottom w:val="outset" w:sz="6" w:space="0" w:color="auto"/>
              <w:right w:val="outset" w:sz="6" w:space="0" w:color="auto"/>
            </w:tcBorders>
            <w:hideMark/>
          </w:tcPr>
          <w:p w14:paraId="46142F8C" w14:textId="658EBA83" w:rsidR="00991889" w:rsidRPr="00991889" w:rsidRDefault="00991889" w:rsidP="00991889">
            <w:pPr>
              <w:jc w:val="right"/>
              <w:rPr>
                <w:rFonts w:ascii="Arial" w:eastAsia="Times New Roman" w:hAnsi="Arial" w:cs="Arial"/>
                <w:sz w:val="16"/>
                <w:szCs w:val="16"/>
              </w:rPr>
            </w:pPr>
            <w:r w:rsidRPr="00991889">
              <w:rPr>
                <w:rFonts w:ascii="Arial" w:eastAsia="Times New Roman" w:hAnsi="Arial" w:cs="Arial"/>
                <w:sz w:val="16"/>
                <w:szCs w:val="16"/>
              </w:rPr>
              <w:t xml:space="preserve"> 14.584.232,52 </w:t>
            </w:r>
          </w:p>
        </w:tc>
        <w:tc>
          <w:tcPr>
            <w:tcW w:w="0" w:type="auto"/>
            <w:tcBorders>
              <w:top w:val="outset" w:sz="6" w:space="0" w:color="auto"/>
              <w:left w:val="outset" w:sz="6" w:space="0" w:color="auto"/>
              <w:bottom w:val="outset" w:sz="6" w:space="0" w:color="auto"/>
              <w:right w:val="outset" w:sz="6" w:space="0" w:color="auto"/>
            </w:tcBorders>
            <w:hideMark/>
          </w:tcPr>
          <w:p w14:paraId="0F70FA49" w14:textId="2B4E9DF8" w:rsidR="00991889" w:rsidRPr="00991889" w:rsidRDefault="00991889" w:rsidP="00991889">
            <w:pPr>
              <w:jc w:val="right"/>
              <w:rPr>
                <w:rFonts w:ascii="Arial" w:eastAsia="Times New Roman" w:hAnsi="Arial" w:cs="Arial"/>
                <w:sz w:val="16"/>
                <w:szCs w:val="16"/>
              </w:rPr>
            </w:pPr>
            <w:r w:rsidRPr="00991889">
              <w:rPr>
                <w:rFonts w:ascii="Arial" w:eastAsia="Times New Roman" w:hAnsi="Arial" w:cs="Arial"/>
                <w:sz w:val="16"/>
                <w:szCs w:val="16"/>
              </w:rPr>
              <w:t xml:space="preserve"> 535.833,58 </w:t>
            </w:r>
          </w:p>
        </w:tc>
        <w:tc>
          <w:tcPr>
            <w:tcW w:w="0" w:type="auto"/>
            <w:tcBorders>
              <w:top w:val="outset" w:sz="6" w:space="0" w:color="auto"/>
              <w:left w:val="outset" w:sz="6" w:space="0" w:color="auto"/>
              <w:bottom w:val="outset" w:sz="6" w:space="0" w:color="auto"/>
              <w:right w:val="outset" w:sz="6" w:space="0" w:color="auto"/>
            </w:tcBorders>
            <w:hideMark/>
          </w:tcPr>
          <w:p w14:paraId="7C3E6F9F" w14:textId="153C6C56" w:rsidR="00991889" w:rsidRPr="00991889" w:rsidRDefault="00991889" w:rsidP="00991889">
            <w:pPr>
              <w:jc w:val="right"/>
              <w:rPr>
                <w:rFonts w:ascii="Arial" w:eastAsia="Times New Roman" w:hAnsi="Arial" w:cs="Arial"/>
                <w:sz w:val="16"/>
                <w:szCs w:val="16"/>
              </w:rPr>
            </w:pPr>
            <w:r w:rsidRPr="00991889">
              <w:rPr>
                <w:rFonts w:ascii="Arial" w:eastAsia="Times New Roman" w:hAnsi="Arial" w:cs="Arial"/>
                <w:sz w:val="16"/>
                <w:szCs w:val="16"/>
              </w:rPr>
              <w:t xml:space="preserve"> 8.416.282,19 </w:t>
            </w:r>
          </w:p>
        </w:tc>
        <w:tc>
          <w:tcPr>
            <w:tcW w:w="0" w:type="auto"/>
            <w:tcBorders>
              <w:top w:val="outset" w:sz="6" w:space="0" w:color="auto"/>
              <w:left w:val="outset" w:sz="6" w:space="0" w:color="auto"/>
              <w:bottom w:val="outset" w:sz="6" w:space="0" w:color="auto"/>
              <w:right w:val="outset" w:sz="6" w:space="0" w:color="auto"/>
            </w:tcBorders>
            <w:hideMark/>
          </w:tcPr>
          <w:p w14:paraId="024D344E" w14:textId="1EAAC594" w:rsidR="00991889" w:rsidRPr="00991889" w:rsidRDefault="00991889" w:rsidP="00991889">
            <w:pPr>
              <w:jc w:val="right"/>
              <w:rPr>
                <w:rFonts w:ascii="Arial" w:eastAsia="Times New Roman" w:hAnsi="Arial" w:cs="Arial"/>
                <w:sz w:val="16"/>
                <w:szCs w:val="16"/>
              </w:rPr>
            </w:pPr>
            <w:r w:rsidRPr="00991889">
              <w:rPr>
                <w:rFonts w:ascii="Arial" w:eastAsia="Times New Roman" w:hAnsi="Arial" w:cs="Arial"/>
                <w:sz w:val="16"/>
                <w:szCs w:val="16"/>
              </w:rPr>
              <w:t xml:space="preserve"> 23.536.348,29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C4C75" w14:textId="77777777" w:rsidR="00991889" w:rsidRDefault="00991889" w:rsidP="00991889">
            <w:pPr>
              <w:jc w:val="right"/>
              <w:rPr>
                <w:rFonts w:eastAsia="Times New Roman"/>
              </w:rPr>
            </w:pPr>
            <w:r>
              <w:rPr>
                <w:rFonts w:ascii="Arial" w:eastAsia="Times New Roman" w:hAnsi="Arial" w:cs="Arial"/>
                <w:sz w:val="16"/>
                <w:szCs w:val="16"/>
              </w:rPr>
              <w:t>4,06%</w:t>
            </w:r>
          </w:p>
        </w:tc>
      </w:tr>
      <w:tr w:rsidR="00991889" w14:paraId="1126CEE3" w14:textId="77777777" w:rsidTr="000739A2">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30B3B6A" w14:textId="77777777" w:rsidR="00991889" w:rsidRDefault="00991889" w:rsidP="00991889">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hideMark/>
          </w:tcPr>
          <w:p w14:paraId="30F30788" w14:textId="47EF77B6" w:rsidR="00991889" w:rsidRPr="00991889" w:rsidRDefault="00991889" w:rsidP="00991889">
            <w:pPr>
              <w:jc w:val="right"/>
              <w:rPr>
                <w:rFonts w:ascii="Arial" w:eastAsia="Times New Roman" w:hAnsi="Arial" w:cs="Arial"/>
                <w:b/>
                <w:bCs/>
                <w:sz w:val="16"/>
                <w:szCs w:val="16"/>
              </w:rPr>
            </w:pPr>
            <w:r w:rsidRPr="00991889">
              <w:rPr>
                <w:rFonts w:ascii="Arial" w:eastAsia="Times New Roman" w:hAnsi="Arial" w:cs="Arial"/>
                <w:b/>
                <w:bCs/>
                <w:sz w:val="16"/>
                <w:szCs w:val="16"/>
              </w:rPr>
              <w:t xml:space="preserve"> 135.013.602,84 </w:t>
            </w:r>
          </w:p>
        </w:tc>
        <w:tc>
          <w:tcPr>
            <w:tcW w:w="0" w:type="auto"/>
            <w:tcBorders>
              <w:top w:val="outset" w:sz="6" w:space="0" w:color="auto"/>
              <w:left w:val="outset" w:sz="6" w:space="0" w:color="auto"/>
              <w:bottom w:val="outset" w:sz="6" w:space="0" w:color="auto"/>
              <w:right w:val="outset" w:sz="6" w:space="0" w:color="auto"/>
            </w:tcBorders>
            <w:hideMark/>
          </w:tcPr>
          <w:p w14:paraId="7674C4D2" w14:textId="7BFEFD85" w:rsidR="00991889" w:rsidRPr="00991889" w:rsidRDefault="00991889" w:rsidP="00991889">
            <w:pPr>
              <w:jc w:val="right"/>
              <w:rPr>
                <w:rFonts w:ascii="Arial" w:eastAsia="Times New Roman" w:hAnsi="Arial" w:cs="Arial"/>
                <w:b/>
                <w:bCs/>
                <w:sz w:val="16"/>
                <w:szCs w:val="16"/>
              </w:rPr>
            </w:pPr>
            <w:r w:rsidRPr="00991889">
              <w:rPr>
                <w:rFonts w:ascii="Arial" w:eastAsia="Times New Roman" w:hAnsi="Arial" w:cs="Arial"/>
                <w:b/>
                <w:bCs/>
                <w:sz w:val="16"/>
                <w:szCs w:val="16"/>
              </w:rPr>
              <w:t xml:space="preserve"> 82.757.553,90 </w:t>
            </w:r>
          </w:p>
        </w:tc>
        <w:tc>
          <w:tcPr>
            <w:tcW w:w="0" w:type="auto"/>
            <w:tcBorders>
              <w:top w:val="outset" w:sz="6" w:space="0" w:color="auto"/>
              <w:left w:val="outset" w:sz="6" w:space="0" w:color="auto"/>
              <w:bottom w:val="outset" w:sz="6" w:space="0" w:color="auto"/>
              <w:right w:val="outset" w:sz="6" w:space="0" w:color="auto"/>
            </w:tcBorders>
            <w:hideMark/>
          </w:tcPr>
          <w:p w14:paraId="78AF9303" w14:textId="34AE8600" w:rsidR="00991889" w:rsidRPr="00991889" w:rsidRDefault="00991889" w:rsidP="00991889">
            <w:pPr>
              <w:jc w:val="right"/>
              <w:rPr>
                <w:rFonts w:ascii="Arial" w:eastAsia="Times New Roman" w:hAnsi="Arial" w:cs="Arial"/>
                <w:b/>
                <w:bCs/>
                <w:sz w:val="16"/>
                <w:szCs w:val="16"/>
              </w:rPr>
            </w:pPr>
            <w:r w:rsidRPr="00991889">
              <w:rPr>
                <w:rFonts w:ascii="Arial" w:eastAsia="Times New Roman" w:hAnsi="Arial" w:cs="Arial"/>
                <w:b/>
                <w:bCs/>
                <w:sz w:val="16"/>
                <w:szCs w:val="16"/>
              </w:rPr>
              <w:t xml:space="preserve"> 361.338.019,21 </w:t>
            </w:r>
          </w:p>
        </w:tc>
        <w:tc>
          <w:tcPr>
            <w:tcW w:w="0" w:type="auto"/>
            <w:tcBorders>
              <w:top w:val="outset" w:sz="6" w:space="0" w:color="auto"/>
              <w:left w:val="outset" w:sz="6" w:space="0" w:color="auto"/>
              <w:bottom w:val="outset" w:sz="6" w:space="0" w:color="auto"/>
              <w:right w:val="outset" w:sz="6" w:space="0" w:color="auto"/>
            </w:tcBorders>
            <w:hideMark/>
          </w:tcPr>
          <w:p w14:paraId="02A7DB7F" w14:textId="060ECE29" w:rsidR="00991889" w:rsidRPr="00991889" w:rsidRDefault="00991889" w:rsidP="00991889">
            <w:pPr>
              <w:jc w:val="right"/>
              <w:rPr>
                <w:rFonts w:ascii="Arial" w:eastAsia="Times New Roman" w:hAnsi="Arial" w:cs="Arial"/>
                <w:b/>
                <w:bCs/>
                <w:sz w:val="16"/>
                <w:szCs w:val="16"/>
              </w:rPr>
            </w:pPr>
            <w:r w:rsidRPr="00991889">
              <w:rPr>
                <w:rFonts w:ascii="Arial" w:eastAsia="Times New Roman" w:hAnsi="Arial" w:cs="Arial"/>
                <w:b/>
                <w:bCs/>
                <w:sz w:val="16"/>
                <w:szCs w:val="16"/>
              </w:rPr>
              <w:t xml:space="preserve"> 579.109.175,95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9C3EEC" w14:textId="77777777" w:rsidR="00991889" w:rsidRDefault="00991889" w:rsidP="00991889">
            <w:pPr>
              <w:jc w:val="right"/>
              <w:rPr>
                <w:rFonts w:eastAsia="Times New Roman"/>
              </w:rPr>
            </w:pPr>
            <w:r>
              <w:rPr>
                <w:rFonts w:ascii="Arial" w:eastAsia="Times New Roman" w:hAnsi="Arial" w:cs="Arial"/>
                <w:b/>
                <w:bCs/>
                <w:sz w:val="16"/>
                <w:szCs w:val="16"/>
              </w:rPr>
              <w:t>100,00%</w:t>
            </w:r>
          </w:p>
        </w:tc>
      </w:tr>
    </w:tbl>
    <w:p w14:paraId="3BE0D134" w14:textId="6E05F6BE" w:rsidR="00BA3275" w:rsidRDefault="00000000">
      <w:pPr>
        <w:pStyle w:val="NormalWeb"/>
      </w:pPr>
      <w:r>
        <w:rPr>
          <w:rFonts w:ascii="Arial" w:hAnsi="Arial" w:cs="Arial"/>
          <w:b/>
          <w:bCs/>
          <w:sz w:val="20"/>
          <w:szCs w:val="20"/>
        </w:rPr>
        <w:lastRenderedPageBreak/>
        <w:t>6.</w:t>
      </w:r>
      <w:r w:rsidR="00991889">
        <w:rPr>
          <w:rFonts w:ascii="Arial" w:hAnsi="Arial" w:cs="Arial"/>
          <w:b/>
          <w:bCs/>
          <w:sz w:val="20"/>
          <w:szCs w:val="20"/>
        </w:rPr>
        <w:t>9</w:t>
      </w:r>
      <w:r>
        <w:rPr>
          <w:rFonts w:ascii="Arial" w:hAnsi="Arial" w:cs="Arial"/>
          <w:b/>
          <w:bCs/>
          <w:sz w:val="20"/>
          <w:szCs w:val="20"/>
        </w:rPr>
        <w:t xml:space="preserve"> Concentração dos Principais Devedores</w:t>
      </w:r>
    </w:p>
    <w:tbl>
      <w:tblPr>
        <w:tblW w:w="5000" w:type="pct"/>
        <w:tblCellMar>
          <w:left w:w="0" w:type="dxa"/>
          <w:right w:w="0" w:type="dxa"/>
        </w:tblCellMar>
        <w:tblLook w:val="04A0" w:firstRow="1" w:lastRow="0" w:firstColumn="1" w:lastColumn="0" w:noHBand="0" w:noVBand="1"/>
      </w:tblPr>
      <w:tblGrid>
        <w:gridCol w:w="3934"/>
        <w:gridCol w:w="2730"/>
        <w:gridCol w:w="2958"/>
      </w:tblGrid>
      <w:tr w:rsidR="00BA3275" w14:paraId="1EC3DE8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AC68CA3" w14:textId="77777777" w:rsidR="00BA3275"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E0E0D66" w14:textId="77777777" w:rsidR="00BA3275" w:rsidRDefault="00000000">
            <w:pPr>
              <w:jc w:val="center"/>
              <w:rPr>
                <w:rFonts w:eastAsia="Times New Roman"/>
              </w:rPr>
            </w:pPr>
            <w:r>
              <w:rPr>
                <w:rFonts w:ascii="Arial" w:eastAsia="Times New Roman" w:hAnsi="Arial" w:cs="Arial"/>
                <w:b/>
                <w:bCs/>
                <w:sz w:val="16"/>
                <w:szCs w:val="16"/>
              </w:rPr>
              <w:t>30/06/2025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4E722" w14:textId="77777777" w:rsidR="00BA3275" w:rsidRDefault="00000000">
            <w:pPr>
              <w:jc w:val="center"/>
              <w:rPr>
                <w:rFonts w:eastAsia="Times New Roman"/>
              </w:rPr>
            </w:pPr>
            <w:r>
              <w:rPr>
                <w:rFonts w:ascii="Arial" w:eastAsia="Times New Roman" w:hAnsi="Arial" w:cs="Arial"/>
                <w:b/>
                <w:bCs/>
                <w:sz w:val="16"/>
                <w:szCs w:val="16"/>
              </w:rPr>
              <w:t>% Carteira Total</w:t>
            </w:r>
          </w:p>
        </w:tc>
      </w:tr>
      <w:tr w:rsidR="00BA3275" w14:paraId="5A29BF5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B3D3025" w14:textId="77777777" w:rsidR="00BA3275" w:rsidRDefault="00000000">
            <w:pPr>
              <w:rPr>
                <w:rFonts w:eastAsia="Times New Roman"/>
              </w:rPr>
            </w:pPr>
            <w:r>
              <w:rPr>
                <w:rFonts w:ascii="Arial" w:eastAsia="Times New Roman" w:hAnsi="Arial" w:cs="Arial"/>
                <w:sz w:val="16"/>
                <w:szCs w:val="16"/>
              </w:rPr>
              <w:t>Maior Devedor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56CD761" w14:textId="77777777" w:rsidR="00BA3275" w:rsidRDefault="00000000">
            <w:pPr>
              <w:jc w:val="right"/>
              <w:rPr>
                <w:rFonts w:eastAsia="Times New Roman"/>
              </w:rPr>
            </w:pPr>
            <w:r>
              <w:rPr>
                <w:rFonts w:ascii="Arial" w:eastAsia="Times New Roman" w:hAnsi="Arial" w:cs="Arial"/>
                <w:sz w:val="16"/>
                <w:szCs w:val="16"/>
              </w:rPr>
              <w:t>15.428.939,12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B8F7935" w14:textId="77777777" w:rsidR="00BA3275" w:rsidRDefault="00000000">
            <w:pPr>
              <w:jc w:val="right"/>
              <w:rPr>
                <w:rFonts w:eastAsia="Times New Roman"/>
              </w:rPr>
            </w:pPr>
            <w:r>
              <w:rPr>
                <w:rFonts w:ascii="Arial" w:eastAsia="Times New Roman" w:hAnsi="Arial" w:cs="Arial"/>
                <w:sz w:val="16"/>
                <w:szCs w:val="16"/>
              </w:rPr>
              <w:t>2,35%</w:t>
            </w:r>
          </w:p>
        </w:tc>
      </w:tr>
      <w:tr w:rsidR="00BA3275" w14:paraId="156B60C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E9E6BB0" w14:textId="77777777" w:rsidR="00BA3275" w:rsidRDefault="00000000">
            <w:pPr>
              <w:rPr>
                <w:rFonts w:eastAsia="Times New Roman"/>
              </w:rPr>
            </w:pPr>
            <w:r>
              <w:rPr>
                <w:rFonts w:ascii="Arial" w:eastAsia="Times New Roman" w:hAnsi="Arial" w:cs="Arial"/>
                <w:sz w:val="16"/>
                <w:szCs w:val="16"/>
              </w:rPr>
              <w:t>10 Maiores Devedores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95F4CF" w14:textId="77777777" w:rsidR="00BA3275" w:rsidRDefault="00000000">
            <w:pPr>
              <w:jc w:val="right"/>
              <w:rPr>
                <w:rFonts w:eastAsia="Times New Roman"/>
              </w:rPr>
            </w:pPr>
            <w:r>
              <w:rPr>
                <w:rFonts w:ascii="Arial" w:eastAsia="Times New Roman" w:hAnsi="Arial" w:cs="Arial"/>
                <w:sz w:val="16"/>
                <w:szCs w:val="16"/>
              </w:rPr>
              <w:t>87.980.786,68</w:t>
            </w:r>
          </w:p>
        </w:tc>
        <w:tc>
          <w:tcPr>
            <w:tcW w:w="0" w:type="auto"/>
            <w:tcBorders>
              <w:top w:val="outset" w:sz="6" w:space="0" w:color="auto"/>
              <w:left w:val="outset" w:sz="6" w:space="0" w:color="auto"/>
              <w:bottom w:val="outset" w:sz="6" w:space="0" w:color="auto"/>
              <w:right w:val="outset" w:sz="6" w:space="0" w:color="auto"/>
            </w:tcBorders>
            <w:vAlign w:val="center"/>
            <w:hideMark/>
          </w:tcPr>
          <w:p w14:paraId="09DD9A0B" w14:textId="77777777" w:rsidR="00BA3275" w:rsidRDefault="00000000">
            <w:pPr>
              <w:jc w:val="right"/>
              <w:rPr>
                <w:rFonts w:eastAsia="Times New Roman"/>
              </w:rPr>
            </w:pPr>
            <w:r>
              <w:rPr>
                <w:rFonts w:ascii="Arial" w:eastAsia="Times New Roman" w:hAnsi="Arial" w:cs="Arial"/>
                <w:sz w:val="16"/>
                <w:szCs w:val="16"/>
              </w:rPr>
              <w:t>13,38%</w:t>
            </w:r>
          </w:p>
        </w:tc>
      </w:tr>
      <w:tr w:rsidR="00BA3275" w14:paraId="2659884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36B8DE6" w14:textId="77777777" w:rsidR="00BA3275" w:rsidRDefault="00000000">
            <w:pPr>
              <w:rPr>
                <w:rFonts w:eastAsia="Times New Roman"/>
              </w:rPr>
            </w:pPr>
            <w:r>
              <w:rPr>
                <w:rFonts w:ascii="Arial" w:eastAsia="Times New Roman" w:hAnsi="Arial" w:cs="Arial"/>
                <w:sz w:val="16"/>
                <w:szCs w:val="16"/>
              </w:rPr>
              <w:t>50 Maiores Devedores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2F9CD3" w14:textId="77777777" w:rsidR="00BA3275" w:rsidRDefault="00000000">
            <w:pPr>
              <w:jc w:val="right"/>
              <w:rPr>
                <w:rFonts w:eastAsia="Times New Roman"/>
              </w:rPr>
            </w:pPr>
            <w:r>
              <w:rPr>
                <w:rFonts w:ascii="Arial" w:eastAsia="Times New Roman" w:hAnsi="Arial" w:cs="Arial"/>
                <w:sz w:val="16"/>
                <w:szCs w:val="16"/>
              </w:rPr>
              <w:t>244.082.126,08</w:t>
            </w:r>
          </w:p>
        </w:tc>
        <w:tc>
          <w:tcPr>
            <w:tcW w:w="0" w:type="auto"/>
            <w:tcBorders>
              <w:top w:val="outset" w:sz="6" w:space="0" w:color="auto"/>
              <w:left w:val="outset" w:sz="6" w:space="0" w:color="auto"/>
              <w:bottom w:val="outset" w:sz="6" w:space="0" w:color="auto"/>
              <w:right w:val="outset" w:sz="6" w:space="0" w:color="auto"/>
            </w:tcBorders>
            <w:vAlign w:val="center"/>
            <w:hideMark/>
          </w:tcPr>
          <w:p w14:paraId="1DA0368D" w14:textId="77777777" w:rsidR="00BA3275" w:rsidRDefault="00000000">
            <w:pPr>
              <w:jc w:val="right"/>
              <w:rPr>
                <w:rFonts w:eastAsia="Times New Roman"/>
              </w:rPr>
            </w:pPr>
            <w:r>
              <w:rPr>
                <w:rFonts w:ascii="Arial" w:eastAsia="Times New Roman" w:hAnsi="Arial" w:cs="Arial"/>
                <w:sz w:val="16"/>
                <w:szCs w:val="16"/>
              </w:rPr>
              <w:t>37,11%</w:t>
            </w:r>
          </w:p>
        </w:tc>
      </w:tr>
    </w:tbl>
    <w:p w14:paraId="1D81E2EE" w14:textId="77777777" w:rsidR="00BA3275" w:rsidRDefault="00000000">
      <w:pPr>
        <w:pStyle w:val="NormalWeb"/>
        <w:jc w:val="both"/>
      </w:pPr>
      <w:r>
        <w:rPr>
          <w:rFonts w:ascii="Arial" w:hAnsi="Arial" w:cs="Arial"/>
          <w:sz w:val="20"/>
          <w:szCs w:val="20"/>
        </w:rPr>
        <w:t>Compõe o saldo da concentração de devedores as operações de crédito e as operações de outros créditos. Não estão contemplados no saldo os valores de encargos financeiros gerados pela utilização de limites de cheque especial.</w:t>
      </w:r>
    </w:p>
    <w:p w14:paraId="1AEB8B7F" w14:textId="0E83F7F2" w:rsidR="00BA3275" w:rsidRDefault="00000000">
      <w:pPr>
        <w:pStyle w:val="NormalWeb"/>
      </w:pPr>
      <w:r>
        <w:rPr>
          <w:rFonts w:ascii="Arial" w:hAnsi="Arial" w:cs="Arial"/>
          <w:b/>
          <w:bCs/>
          <w:sz w:val="20"/>
          <w:szCs w:val="20"/>
        </w:rPr>
        <w:t>6.1</w:t>
      </w:r>
      <w:r w:rsidR="00991889">
        <w:rPr>
          <w:rFonts w:ascii="Arial" w:hAnsi="Arial" w:cs="Arial"/>
          <w:b/>
          <w:bCs/>
          <w:sz w:val="20"/>
          <w:szCs w:val="20"/>
        </w:rPr>
        <w:t>0</w:t>
      </w:r>
      <w:r>
        <w:rPr>
          <w:rFonts w:ascii="Arial" w:hAnsi="Arial" w:cs="Arial"/>
          <w:b/>
          <w:bCs/>
          <w:sz w:val="20"/>
          <w:szCs w:val="20"/>
        </w:rPr>
        <w:t xml:space="preserve"> Operações Renegociadas e Reestruturadas</w:t>
      </w:r>
    </w:p>
    <w:p w14:paraId="5953421B" w14:textId="77777777" w:rsidR="00BA3275" w:rsidRDefault="00000000">
      <w:pPr>
        <w:pStyle w:val="NormalWeb"/>
        <w:jc w:val="both"/>
      </w:pPr>
      <w:r>
        <w:rPr>
          <w:rFonts w:ascii="Arial" w:hAnsi="Arial" w:cs="Arial"/>
          <w:sz w:val="20"/>
          <w:szCs w:val="20"/>
        </w:rPr>
        <w:t>As operações renegociadas e reestruturadas estão assim compostas:</w:t>
      </w:r>
    </w:p>
    <w:tbl>
      <w:tblPr>
        <w:tblW w:w="5000" w:type="pct"/>
        <w:tblCellMar>
          <w:left w:w="0" w:type="dxa"/>
          <w:right w:w="0" w:type="dxa"/>
        </w:tblCellMar>
        <w:tblLook w:val="04A0" w:firstRow="1" w:lastRow="0" w:firstColumn="1" w:lastColumn="0" w:noHBand="0" w:noVBand="1"/>
      </w:tblPr>
      <w:tblGrid>
        <w:gridCol w:w="4169"/>
        <w:gridCol w:w="5453"/>
      </w:tblGrid>
      <w:tr w:rsidR="00BA3275" w14:paraId="4A17D836" w14:textId="77777777">
        <w:trPr>
          <w:trHeight w:val="150"/>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A1BDDC6"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2A1CA6F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FCE5CF2" w14:textId="77777777" w:rsidR="00BA3275" w:rsidRDefault="00000000">
            <w:pPr>
              <w:jc w:val="center"/>
              <w:rPr>
                <w:rFonts w:eastAsia="Times New Roman"/>
              </w:rPr>
            </w:pPr>
            <w:r>
              <w:rPr>
                <w:rFonts w:ascii="Arial" w:eastAsia="Times New Roman" w:hAnsi="Arial" w:cs="Arial"/>
                <w:b/>
                <w:bCs/>
                <w:sz w:val="16"/>
                <w:szCs w:val="16"/>
              </w:rPr>
              <w:t>Natureza da Operação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AD074C5" w14:textId="77777777" w:rsidR="00BA3275" w:rsidRDefault="00000000">
            <w:pPr>
              <w:jc w:val="center"/>
              <w:rPr>
                <w:rFonts w:eastAsia="Times New Roman"/>
              </w:rPr>
            </w:pPr>
            <w:r>
              <w:rPr>
                <w:rFonts w:ascii="Arial" w:eastAsia="Times New Roman" w:hAnsi="Arial" w:cs="Arial"/>
                <w:b/>
                <w:bCs/>
                <w:sz w:val="16"/>
                <w:szCs w:val="16"/>
              </w:rPr>
              <w:t>Renegociadas/Restruturadas</w:t>
            </w:r>
          </w:p>
        </w:tc>
      </w:tr>
      <w:tr w:rsidR="00BA3275" w14:paraId="1942B0B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83F612D" w14:textId="77777777" w:rsidR="00BA3275" w:rsidRDefault="00000000">
            <w:pPr>
              <w:rPr>
                <w:rFonts w:eastAsia="Times New Roman"/>
              </w:rPr>
            </w:pPr>
            <w:r>
              <w:rPr>
                <w:rFonts w:ascii="Arial" w:eastAsia="Times New Roman" w:hAnsi="Arial" w:cs="Arial"/>
                <w:sz w:val="16"/>
                <w:szCs w:val="16"/>
              </w:rPr>
              <w:t>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FBB57" w14:textId="77777777" w:rsidR="00BA3275" w:rsidRDefault="00000000">
            <w:pPr>
              <w:jc w:val="right"/>
              <w:rPr>
                <w:rFonts w:eastAsia="Times New Roman"/>
              </w:rPr>
            </w:pPr>
            <w:r>
              <w:rPr>
                <w:rFonts w:ascii="Arial" w:eastAsia="Times New Roman" w:hAnsi="Arial" w:cs="Arial"/>
                <w:sz w:val="16"/>
                <w:szCs w:val="16"/>
              </w:rPr>
              <w:t>4.225.718,21</w:t>
            </w:r>
          </w:p>
        </w:tc>
      </w:tr>
      <w:tr w:rsidR="00991889" w14:paraId="08B56C9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E82AB49" w14:textId="77777777" w:rsidR="00991889" w:rsidRDefault="00991889" w:rsidP="00991889">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5F1CF95" w14:textId="5AF0F580" w:rsidR="00991889" w:rsidRPr="00991889" w:rsidRDefault="00991889" w:rsidP="00991889">
            <w:pPr>
              <w:jc w:val="right"/>
              <w:rPr>
                <w:rFonts w:eastAsia="Times New Roman"/>
                <w:b/>
                <w:bCs/>
              </w:rPr>
            </w:pPr>
            <w:r w:rsidRPr="00991889">
              <w:rPr>
                <w:rFonts w:ascii="Arial" w:eastAsia="Times New Roman" w:hAnsi="Arial" w:cs="Arial"/>
                <w:b/>
                <w:bCs/>
                <w:sz w:val="16"/>
                <w:szCs w:val="16"/>
              </w:rPr>
              <w:t>4.225.718,21</w:t>
            </w:r>
          </w:p>
        </w:tc>
      </w:tr>
    </w:tbl>
    <w:p w14:paraId="0A7EE4A6" w14:textId="77777777" w:rsidR="00BA3275" w:rsidRDefault="00000000">
      <w:pPr>
        <w:pStyle w:val="NormalWeb"/>
      </w:pPr>
      <w:r>
        <w:rPr>
          <w:rFonts w:ascii="Arial" w:hAnsi="Arial" w:cs="Arial"/>
          <w:b/>
          <w:bCs/>
          <w:sz w:val="20"/>
          <w:szCs w:val="20"/>
        </w:rPr>
        <w:t>7. Outros Ativos Financeiros</w:t>
      </w:r>
    </w:p>
    <w:p w14:paraId="41166FDF" w14:textId="77777777" w:rsidR="00BA3275" w:rsidRDefault="00000000">
      <w:pPr>
        <w:pStyle w:val="NormalWeb"/>
        <w:jc w:val="both"/>
      </w:pPr>
      <w:r>
        <w:rPr>
          <w:rFonts w:ascii="Arial" w:hAnsi="Arial" w:cs="Arial"/>
          <w:sz w:val="20"/>
          <w:szCs w:val="20"/>
        </w:rPr>
        <w:t>Em 30 de junho de 2025, os outros ativos financeiros, compostos por valores referentes às importâncias devidas à Cooperativa por pessoas físicas ou jurídicas domiciliadas no país, estão assim compostos:</w:t>
      </w:r>
    </w:p>
    <w:tbl>
      <w:tblPr>
        <w:tblW w:w="5000" w:type="pct"/>
        <w:tblCellMar>
          <w:left w:w="0" w:type="dxa"/>
          <w:right w:w="0" w:type="dxa"/>
        </w:tblCellMar>
        <w:tblLook w:val="04A0" w:firstRow="1" w:lastRow="0" w:firstColumn="1" w:lastColumn="0" w:noHBand="0" w:noVBand="1"/>
      </w:tblPr>
      <w:tblGrid>
        <w:gridCol w:w="4869"/>
        <w:gridCol w:w="1483"/>
        <w:gridCol w:w="1787"/>
        <w:gridCol w:w="1483"/>
      </w:tblGrid>
      <w:tr w:rsidR="00BA3275" w14:paraId="6ABB5867"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4CEA75D" w14:textId="77777777" w:rsidR="00BA3275" w:rsidRDefault="00000000">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6F75D18"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586E9B51"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3B5CD5" w14:textId="77777777" w:rsidR="00BA3275" w:rsidRDefault="00BA327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065230E" w14:textId="77777777" w:rsidR="00BA3275"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2FEBB75" w14:textId="77777777" w:rsidR="00BA3275"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16A5C95" w14:textId="77777777" w:rsidR="00BA3275" w:rsidRDefault="00000000">
            <w:pPr>
              <w:jc w:val="center"/>
              <w:rPr>
                <w:rFonts w:eastAsia="Times New Roman"/>
              </w:rPr>
            </w:pPr>
            <w:r>
              <w:rPr>
                <w:rFonts w:ascii="Arial" w:eastAsia="Times New Roman" w:hAnsi="Arial" w:cs="Arial"/>
                <w:b/>
                <w:bCs/>
                <w:sz w:val="16"/>
                <w:szCs w:val="16"/>
              </w:rPr>
              <w:t>Total</w:t>
            </w:r>
          </w:p>
        </w:tc>
      </w:tr>
      <w:tr w:rsidR="00BA3275" w14:paraId="2A9353E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6494E71" w14:textId="5CAA3DD6" w:rsidR="00BA3275" w:rsidRDefault="00000000">
            <w:pPr>
              <w:rPr>
                <w:rFonts w:eastAsia="Times New Roman"/>
              </w:rPr>
            </w:pPr>
            <w:r>
              <w:rPr>
                <w:rFonts w:ascii="Arial" w:eastAsia="Times New Roman" w:hAnsi="Arial" w:cs="Arial"/>
                <w:sz w:val="16"/>
                <w:szCs w:val="16"/>
              </w:rPr>
              <w:t>Rendas a Receber</w:t>
            </w:r>
            <w:r w:rsidR="002F11A6">
              <w:rPr>
                <w:rFonts w:ascii="Arial" w:eastAsia="Times New Roman" w:hAnsi="Arial" w:cs="Arial"/>
                <w:sz w:val="16"/>
                <w:szCs w:val="16"/>
              </w:rPr>
              <w:t xml:space="preserve"> (7.1)</w:t>
            </w:r>
          </w:p>
        </w:tc>
        <w:tc>
          <w:tcPr>
            <w:tcW w:w="0" w:type="auto"/>
            <w:tcBorders>
              <w:top w:val="outset" w:sz="6" w:space="0" w:color="auto"/>
              <w:left w:val="outset" w:sz="6" w:space="0" w:color="auto"/>
              <w:bottom w:val="outset" w:sz="6" w:space="0" w:color="auto"/>
              <w:right w:val="outset" w:sz="6" w:space="0" w:color="auto"/>
            </w:tcBorders>
            <w:vAlign w:val="center"/>
            <w:hideMark/>
          </w:tcPr>
          <w:p w14:paraId="6552FA9F" w14:textId="77777777" w:rsidR="00BA3275" w:rsidRDefault="00000000" w:rsidP="002F11A6">
            <w:pPr>
              <w:jc w:val="right"/>
              <w:rPr>
                <w:rFonts w:eastAsia="Times New Roman"/>
              </w:rPr>
            </w:pPr>
            <w:r>
              <w:rPr>
                <w:rFonts w:ascii="Arial" w:eastAsia="Times New Roman" w:hAnsi="Arial" w:cs="Arial"/>
                <w:sz w:val="16"/>
                <w:szCs w:val="16"/>
              </w:rPr>
              <w:t>6.230.561,32</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5A118" w14:textId="77777777" w:rsidR="00BA3275" w:rsidRDefault="00000000" w:rsidP="002F11A6">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E1EECF" w14:textId="77777777" w:rsidR="00BA3275" w:rsidRDefault="00000000" w:rsidP="002F11A6">
            <w:pPr>
              <w:jc w:val="right"/>
              <w:rPr>
                <w:rFonts w:eastAsia="Times New Roman"/>
              </w:rPr>
            </w:pPr>
            <w:r>
              <w:rPr>
                <w:rFonts w:ascii="Arial" w:eastAsia="Times New Roman" w:hAnsi="Arial" w:cs="Arial"/>
                <w:sz w:val="16"/>
                <w:szCs w:val="16"/>
              </w:rPr>
              <w:t>6.230.561,32</w:t>
            </w:r>
          </w:p>
        </w:tc>
      </w:tr>
      <w:tr w:rsidR="00BA3275" w14:paraId="091D36B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FE1D44F" w14:textId="3DD6E52E" w:rsidR="00BA3275" w:rsidRDefault="00000000">
            <w:pPr>
              <w:rPr>
                <w:rFonts w:eastAsia="Times New Roman"/>
              </w:rPr>
            </w:pPr>
            <w:r>
              <w:rPr>
                <w:rFonts w:ascii="Arial" w:eastAsia="Times New Roman" w:hAnsi="Arial" w:cs="Arial"/>
                <w:sz w:val="16"/>
                <w:szCs w:val="16"/>
              </w:rPr>
              <w:t>Títulos e Créditos a Receber</w:t>
            </w:r>
            <w:r w:rsidR="002F11A6">
              <w:rPr>
                <w:rFonts w:ascii="Arial" w:eastAsia="Times New Roman" w:hAnsi="Arial" w:cs="Arial"/>
                <w:sz w:val="16"/>
                <w:szCs w:val="16"/>
              </w:rPr>
              <w:t xml:space="preserve"> (7.2)</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ACA1F" w14:textId="77777777" w:rsidR="00BA3275" w:rsidRDefault="00000000" w:rsidP="002F11A6">
            <w:pPr>
              <w:jc w:val="right"/>
              <w:rPr>
                <w:rFonts w:eastAsia="Times New Roman"/>
              </w:rPr>
            </w:pPr>
            <w:r>
              <w:rPr>
                <w:rFonts w:ascii="Arial" w:eastAsia="Times New Roman" w:hAnsi="Arial" w:cs="Arial"/>
                <w:sz w:val="16"/>
                <w:szCs w:val="16"/>
              </w:rPr>
              <w:t>17.209,29</w:t>
            </w:r>
          </w:p>
        </w:tc>
        <w:tc>
          <w:tcPr>
            <w:tcW w:w="0" w:type="auto"/>
            <w:tcBorders>
              <w:top w:val="outset" w:sz="6" w:space="0" w:color="auto"/>
              <w:left w:val="outset" w:sz="6" w:space="0" w:color="auto"/>
              <w:bottom w:val="outset" w:sz="6" w:space="0" w:color="auto"/>
              <w:right w:val="outset" w:sz="6" w:space="0" w:color="auto"/>
            </w:tcBorders>
            <w:vAlign w:val="center"/>
            <w:hideMark/>
          </w:tcPr>
          <w:p w14:paraId="6E48BEA2" w14:textId="77777777" w:rsidR="00BA3275" w:rsidRDefault="00000000" w:rsidP="002F11A6">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C62F9B" w14:textId="77777777" w:rsidR="00BA3275" w:rsidRDefault="00000000" w:rsidP="002F11A6">
            <w:pPr>
              <w:jc w:val="right"/>
              <w:rPr>
                <w:rFonts w:eastAsia="Times New Roman"/>
              </w:rPr>
            </w:pPr>
            <w:r>
              <w:rPr>
                <w:rFonts w:ascii="Arial" w:eastAsia="Times New Roman" w:hAnsi="Arial" w:cs="Arial"/>
                <w:sz w:val="16"/>
                <w:szCs w:val="16"/>
              </w:rPr>
              <w:t>17.209,29</w:t>
            </w:r>
          </w:p>
        </w:tc>
      </w:tr>
      <w:tr w:rsidR="002F11A6" w14:paraId="4A10D22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tcPr>
          <w:p w14:paraId="4EDFEFEB" w14:textId="19B689C3" w:rsidR="002F11A6" w:rsidRDefault="002F11A6" w:rsidP="002F11A6">
            <w:pPr>
              <w:rPr>
                <w:rFonts w:ascii="Arial" w:eastAsia="Times New Roman" w:hAnsi="Arial" w:cs="Arial"/>
                <w:sz w:val="16"/>
                <w:szCs w:val="16"/>
              </w:rPr>
            </w:pPr>
            <w:r>
              <w:rPr>
                <w:rFonts w:ascii="Arial" w:eastAsia="Times New Roman" w:hAnsi="Arial" w:cs="Arial"/>
                <w:sz w:val="16"/>
                <w:szCs w:val="16"/>
              </w:rPr>
              <w:t>Devedores por Depósitos em Garantia (7.3)</w:t>
            </w:r>
          </w:p>
        </w:tc>
        <w:tc>
          <w:tcPr>
            <w:tcW w:w="0" w:type="auto"/>
            <w:tcBorders>
              <w:top w:val="outset" w:sz="6" w:space="0" w:color="auto"/>
              <w:left w:val="outset" w:sz="6" w:space="0" w:color="auto"/>
              <w:bottom w:val="outset" w:sz="6" w:space="0" w:color="auto"/>
              <w:right w:val="outset" w:sz="6" w:space="0" w:color="auto"/>
            </w:tcBorders>
            <w:vAlign w:val="center"/>
          </w:tcPr>
          <w:p w14:paraId="0003F752" w14:textId="50C935AB" w:rsidR="002F11A6" w:rsidRDefault="002F11A6" w:rsidP="002F11A6">
            <w:pPr>
              <w:jc w:val="right"/>
              <w:rPr>
                <w:rFonts w:ascii="Arial" w:eastAsia="Times New Roman" w:hAnsi="Arial" w:cs="Arial"/>
                <w:sz w:val="16"/>
                <w:szCs w:val="16"/>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tcPr>
          <w:p w14:paraId="3333BC50" w14:textId="521CB9FC" w:rsidR="002F11A6" w:rsidRDefault="002F11A6" w:rsidP="002F11A6">
            <w:pPr>
              <w:jc w:val="right"/>
              <w:rPr>
                <w:rFonts w:ascii="Arial" w:eastAsia="Times New Roman" w:hAnsi="Arial" w:cs="Arial"/>
                <w:sz w:val="16"/>
                <w:szCs w:val="16"/>
              </w:rPr>
            </w:pPr>
            <w:r>
              <w:rPr>
                <w:rFonts w:ascii="Arial" w:eastAsia="Times New Roman" w:hAnsi="Arial" w:cs="Arial"/>
                <w:sz w:val="16"/>
                <w:szCs w:val="16"/>
              </w:rPr>
              <w:t>113.365,66</w:t>
            </w:r>
          </w:p>
        </w:tc>
        <w:tc>
          <w:tcPr>
            <w:tcW w:w="0" w:type="auto"/>
            <w:tcBorders>
              <w:top w:val="outset" w:sz="6" w:space="0" w:color="auto"/>
              <w:left w:val="outset" w:sz="6" w:space="0" w:color="auto"/>
              <w:bottom w:val="outset" w:sz="6" w:space="0" w:color="auto"/>
              <w:right w:val="outset" w:sz="6" w:space="0" w:color="auto"/>
            </w:tcBorders>
            <w:vAlign w:val="center"/>
          </w:tcPr>
          <w:p w14:paraId="62CC1364" w14:textId="3317E2B9" w:rsidR="002F11A6" w:rsidRDefault="002F11A6" w:rsidP="002F11A6">
            <w:pPr>
              <w:jc w:val="right"/>
              <w:rPr>
                <w:rFonts w:ascii="Arial" w:eastAsia="Times New Roman" w:hAnsi="Arial" w:cs="Arial"/>
                <w:sz w:val="16"/>
                <w:szCs w:val="16"/>
              </w:rPr>
            </w:pPr>
            <w:r>
              <w:rPr>
                <w:rFonts w:ascii="Arial" w:eastAsia="Times New Roman" w:hAnsi="Arial" w:cs="Arial"/>
                <w:sz w:val="16"/>
                <w:szCs w:val="16"/>
              </w:rPr>
              <w:t>113.365,66</w:t>
            </w:r>
          </w:p>
        </w:tc>
      </w:tr>
      <w:tr w:rsidR="002F11A6" w14:paraId="51A44F1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0C993A7" w14:textId="77777777" w:rsidR="002F11A6" w:rsidRDefault="002F11A6" w:rsidP="002F11A6">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03240D7" w14:textId="77777777" w:rsidR="002F11A6" w:rsidRDefault="002F11A6" w:rsidP="002F11A6">
            <w:pPr>
              <w:jc w:val="right"/>
              <w:rPr>
                <w:rFonts w:eastAsia="Times New Roman"/>
              </w:rPr>
            </w:pPr>
            <w:r>
              <w:rPr>
                <w:rFonts w:ascii="Arial" w:eastAsia="Times New Roman" w:hAnsi="Arial" w:cs="Arial"/>
                <w:b/>
                <w:bCs/>
                <w:sz w:val="16"/>
                <w:szCs w:val="16"/>
              </w:rPr>
              <w:t>6.247.770,61</w:t>
            </w:r>
          </w:p>
        </w:tc>
        <w:tc>
          <w:tcPr>
            <w:tcW w:w="0" w:type="auto"/>
            <w:tcBorders>
              <w:top w:val="outset" w:sz="6" w:space="0" w:color="auto"/>
              <w:left w:val="outset" w:sz="6" w:space="0" w:color="auto"/>
              <w:bottom w:val="outset" w:sz="6" w:space="0" w:color="auto"/>
              <w:right w:val="outset" w:sz="6" w:space="0" w:color="auto"/>
            </w:tcBorders>
            <w:vAlign w:val="center"/>
            <w:hideMark/>
          </w:tcPr>
          <w:p w14:paraId="72EE4368" w14:textId="77777777" w:rsidR="002F11A6" w:rsidRDefault="002F11A6" w:rsidP="002F11A6">
            <w:pPr>
              <w:jc w:val="right"/>
              <w:rPr>
                <w:rFonts w:eastAsia="Times New Roman"/>
              </w:rPr>
            </w:pPr>
            <w:r>
              <w:rPr>
                <w:rFonts w:ascii="Arial" w:eastAsia="Times New Roman" w:hAnsi="Arial" w:cs="Arial"/>
                <w:b/>
                <w:bCs/>
                <w:sz w:val="16"/>
                <w:szCs w:val="16"/>
              </w:rPr>
              <w:t>113.365,66</w:t>
            </w:r>
          </w:p>
        </w:tc>
        <w:tc>
          <w:tcPr>
            <w:tcW w:w="0" w:type="auto"/>
            <w:tcBorders>
              <w:top w:val="outset" w:sz="6" w:space="0" w:color="auto"/>
              <w:left w:val="outset" w:sz="6" w:space="0" w:color="auto"/>
              <w:bottom w:val="outset" w:sz="6" w:space="0" w:color="auto"/>
              <w:right w:val="outset" w:sz="6" w:space="0" w:color="auto"/>
            </w:tcBorders>
            <w:vAlign w:val="center"/>
            <w:hideMark/>
          </w:tcPr>
          <w:p w14:paraId="399CDBAD" w14:textId="77777777" w:rsidR="002F11A6" w:rsidRDefault="002F11A6" w:rsidP="002F11A6">
            <w:pPr>
              <w:jc w:val="right"/>
              <w:rPr>
                <w:rFonts w:eastAsia="Times New Roman"/>
              </w:rPr>
            </w:pPr>
            <w:r>
              <w:rPr>
                <w:rFonts w:ascii="Arial" w:eastAsia="Times New Roman" w:hAnsi="Arial" w:cs="Arial"/>
                <w:b/>
                <w:bCs/>
                <w:sz w:val="16"/>
                <w:szCs w:val="16"/>
              </w:rPr>
              <w:t>6.361.136,27</w:t>
            </w:r>
          </w:p>
        </w:tc>
      </w:tr>
    </w:tbl>
    <w:p w14:paraId="393A5DAF" w14:textId="77777777" w:rsidR="00BA3275" w:rsidRDefault="00000000">
      <w:pPr>
        <w:pStyle w:val="NormalWeb"/>
      </w:pPr>
      <w:r>
        <w:rPr>
          <w:rFonts w:ascii="Arial" w:hAnsi="Arial" w:cs="Arial"/>
          <w:b/>
          <w:bCs/>
          <w:sz w:val="20"/>
          <w:szCs w:val="20"/>
        </w:rPr>
        <w:t>7.1 Rendas a Receber estão registrados</w:t>
      </w:r>
    </w:p>
    <w:tbl>
      <w:tblPr>
        <w:tblW w:w="5000" w:type="pct"/>
        <w:tblCellMar>
          <w:left w:w="0" w:type="dxa"/>
          <w:right w:w="0" w:type="dxa"/>
        </w:tblCellMar>
        <w:tblLook w:val="04A0" w:firstRow="1" w:lastRow="0" w:firstColumn="1" w:lastColumn="0" w:noHBand="0" w:noVBand="1"/>
      </w:tblPr>
      <w:tblGrid>
        <w:gridCol w:w="6013"/>
        <w:gridCol w:w="1126"/>
        <w:gridCol w:w="1357"/>
        <w:gridCol w:w="1126"/>
      </w:tblGrid>
      <w:tr w:rsidR="00BA3275" w14:paraId="2BE5892D"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F28D633" w14:textId="77777777" w:rsidR="00BA3275" w:rsidRDefault="00000000">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CAE0AEA"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0D3CC75C"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CC58D8" w14:textId="77777777" w:rsidR="00BA3275" w:rsidRDefault="00BA327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D79139B" w14:textId="77777777" w:rsidR="00BA3275"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229E8" w14:textId="77777777" w:rsidR="00BA3275"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D3E61DA" w14:textId="77777777" w:rsidR="00BA3275" w:rsidRDefault="00000000">
            <w:pPr>
              <w:jc w:val="center"/>
              <w:rPr>
                <w:rFonts w:eastAsia="Times New Roman"/>
              </w:rPr>
            </w:pPr>
            <w:r>
              <w:rPr>
                <w:rFonts w:ascii="Arial" w:eastAsia="Times New Roman" w:hAnsi="Arial" w:cs="Arial"/>
                <w:b/>
                <w:bCs/>
                <w:sz w:val="16"/>
                <w:szCs w:val="16"/>
              </w:rPr>
              <w:t>Total</w:t>
            </w:r>
          </w:p>
        </w:tc>
      </w:tr>
      <w:tr w:rsidR="00BA3275" w14:paraId="6663443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FB8BBE8" w14:textId="77777777" w:rsidR="00BA3275" w:rsidRDefault="00000000">
            <w:pPr>
              <w:rPr>
                <w:rFonts w:eastAsia="Times New Roman"/>
              </w:rPr>
            </w:pPr>
            <w:r>
              <w:rPr>
                <w:rFonts w:ascii="Arial" w:eastAsia="Times New Roman" w:hAnsi="Arial" w:cs="Arial"/>
                <w:sz w:val="16"/>
                <w:szCs w:val="16"/>
              </w:rPr>
              <w:t>Rendas de Convênio</w:t>
            </w:r>
          </w:p>
        </w:tc>
        <w:tc>
          <w:tcPr>
            <w:tcW w:w="0" w:type="auto"/>
            <w:tcBorders>
              <w:top w:val="outset" w:sz="6" w:space="0" w:color="auto"/>
              <w:left w:val="outset" w:sz="6" w:space="0" w:color="auto"/>
              <w:bottom w:val="outset" w:sz="6" w:space="0" w:color="auto"/>
              <w:right w:val="outset" w:sz="6" w:space="0" w:color="auto"/>
            </w:tcBorders>
            <w:vAlign w:val="center"/>
            <w:hideMark/>
          </w:tcPr>
          <w:p w14:paraId="1D0DA8EC" w14:textId="77777777" w:rsidR="00BA3275" w:rsidRDefault="00000000" w:rsidP="002F11A6">
            <w:pPr>
              <w:jc w:val="right"/>
              <w:rPr>
                <w:rFonts w:eastAsia="Times New Roman"/>
              </w:rPr>
            </w:pPr>
            <w:r>
              <w:rPr>
                <w:rFonts w:ascii="Arial" w:eastAsia="Times New Roman" w:hAnsi="Arial" w:cs="Arial"/>
                <w:sz w:val="16"/>
                <w:szCs w:val="16"/>
              </w:rPr>
              <w:t>7.553,43</w:t>
            </w:r>
          </w:p>
        </w:tc>
        <w:tc>
          <w:tcPr>
            <w:tcW w:w="0" w:type="auto"/>
            <w:tcBorders>
              <w:top w:val="outset" w:sz="6" w:space="0" w:color="auto"/>
              <w:left w:val="outset" w:sz="6" w:space="0" w:color="auto"/>
              <w:bottom w:val="outset" w:sz="6" w:space="0" w:color="auto"/>
              <w:right w:val="outset" w:sz="6" w:space="0" w:color="auto"/>
            </w:tcBorders>
            <w:vAlign w:val="center"/>
            <w:hideMark/>
          </w:tcPr>
          <w:p w14:paraId="3016201B" w14:textId="77777777" w:rsidR="00BA3275" w:rsidRDefault="00000000" w:rsidP="002F11A6">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DA7264" w14:textId="77777777" w:rsidR="00BA3275" w:rsidRDefault="00000000" w:rsidP="002F11A6">
            <w:pPr>
              <w:jc w:val="right"/>
              <w:rPr>
                <w:rFonts w:eastAsia="Times New Roman"/>
              </w:rPr>
            </w:pPr>
            <w:r>
              <w:rPr>
                <w:rFonts w:ascii="Arial" w:eastAsia="Times New Roman" w:hAnsi="Arial" w:cs="Arial"/>
                <w:sz w:val="16"/>
                <w:szCs w:val="16"/>
              </w:rPr>
              <w:t>7.553,43</w:t>
            </w:r>
          </w:p>
        </w:tc>
      </w:tr>
      <w:tr w:rsidR="00BA3275" w14:paraId="582FCD9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93CBC50" w14:textId="77777777" w:rsidR="00BA3275" w:rsidRDefault="00000000">
            <w:pPr>
              <w:rPr>
                <w:rFonts w:eastAsia="Times New Roman"/>
              </w:rPr>
            </w:pPr>
            <w:r>
              <w:rPr>
                <w:rFonts w:ascii="Arial" w:eastAsia="Times New Roman" w:hAnsi="Arial" w:cs="Arial"/>
                <w:sz w:val="16"/>
                <w:szCs w:val="16"/>
              </w:rPr>
              <w:t>Rendas de Cartões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A1103BA" w14:textId="77777777" w:rsidR="00BA3275" w:rsidRDefault="00000000" w:rsidP="002F11A6">
            <w:pPr>
              <w:jc w:val="right"/>
              <w:rPr>
                <w:rFonts w:eastAsia="Times New Roman"/>
              </w:rPr>
            </w:pPr>
            <w:r>
              <w:rPr>
                <w:rFonts w:ascii="Arial" w:eastAsia="Times New Roman" w:hAnsi="Arial" w:cs="Arial"/>
                <w:sz w:val="16"/>
                <w:szCs w:val="16"/>
              </w:rPr>
              <w:t>279.812,73</w:t>
            </w:r>
          </w:p>
        </w:tc>
        <w:tc>
          <w:tcPr>
            <w:tcW w:w="0" w:type="auto"/>
            <w:tcBorders>
              <w:top w:val="outset" w:sz="6" w:space="0" w:color="auto"/>
              <w:left w:val="outset" w:sz="6" w:space="0" w:color="auto"/>
              <w:bottom w:val="outset" w:sz="6" w:space="0" w:color="auto"/>
              <w:right w:val="outset" w:sz="6" w:space="0" w:color="auto"/>
            </w:tcBorders>
            <w:vAlign w:val="center"/>
            <w:hideMark/>
          </w:tcPr>
          <w:p w14:paraId="79C8FF63" w14:textId="77777777" w:rsidR="00BA3275" w:rsidRDefault="00000000" w:rsidP="002F11A6">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EFA6CE1" w14:textId="77777777" w:rsidR="00BA3275" w:rsidRDefault="00000000" w:rsidP="002F11A6">
            <w:pPr>
              <w:jc w:val="right"/>
              <w:rPr>
                <w:rFonts w:eastAsia="Times New Roman"/>
              </w:rPr>
            </w:pPr>
            <w:r>
              <w:rPr>
                <w:rFonts w:ascii="Arial" w:eastAsia="Times New Roman" w:hAnsi="Arial" w:cs="Arial"/>
                <w:sz w:val="16"/>
                <w:szCs w:val="16"/>
              </w:rPr>
              <w:t>279.812,73</w:t>
            </w:r>
          </w:p>
        </w:tc>
      </w:tr>
      <w:tr w:rsidR="00BA3275" w14:paraId="6B2DF70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CEE7870" w14:textId="77777777" w:rsidR="00BA3275" w:rsidRDefault="00000000">
            <w:pPr>
              <w:rPr>
                <w:rFonts w:eastAsia="Times New Roman"/>
              </w:rPr>
            </w:pPr>
            <w:r>
              <w:rPr>
                <w:rFonts w:ascii="Arial" w:eastAsia="Times New Roman" w:hAnsi="Arial" w:cs="Arial"/>
                <w:sz w:val="16"/>
                <w:szCs w:val="16"/>
              </w:rPr>
              <w:t>Rendas da Centralização Financeira a Receber da 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38F3A14" w14:textId="77777777" w:rsidR="00BA3275" w:rsidRDefault="00000000" w:rsidP="002F11A6">
            <w:pPr>
              <w:jc w:val="right"/>
              <w:rPr>
                <w:rFonts w:eastAsia="Times New Roman"/>
              </w:rPr>
            </w:pPr>
            <w:r>
              <w:rPr>
                <w:rFonts w:ascii="Arial" w:eastAsia="Times New Roman" w:hAnsi="Arial" w:cs="Arial"/>
                <w:sz w:val="16"/>
                <w:szCs w:val="16"/>
              </w:rPr>
              <w:t>5.864.780,11</w:t>
            </w:r>
          </w:p>
        </w:tc>
        <w:tc>
          <w:tcPr>
            <w:tcW w:w="0" w:type="auto"/>
            <w:tcBorders>
              <w:top w:val="outset" w:sz="6" w:space="0" w:color="auto"/>
              <w:left w:val="outset" w:sz="6" w:space="0" w:color="auto"/>
              <w:bottom w:val="outset" w:sz="6" w:space="0" w:color="auto"/>
              <w:right w:val="outset" w:sz="6" w:space="0" w:color="auto"/>
            </w:tcBorders>
            <w:vAlign w:val="center"/>
            <w:hideMark/>
          </w:tcPr>
          <w:p w14:paraId="48B3DF7E" w14:textId="77777777" w:rsidR="00BA3275" w:rsidRDefault="00000000" w:rsidP="002F11A6">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91B087" w14:textId="77777777" w:rsidR="00BA3275" w:rsidRDefault="00000000" w:rsidP="002F11A6">
            <w:pPr>
              <w:jc w:val="right"/>
              <w:rPr>
                <w:rFonts w:eastAsia="Times New Roman"/>
              </w:rPr>
            </w:pPr>
            <w:r>
              <w:rPr>
                <w:rFonts w:ascii="Arial" w:eastAsia="Times New Roman" w:hAnsi="Arial" w:cs="Arial"/>
                <w:sz w:val="16"/>
                <w:szCs w:val="16"/>
              </w:rPr>
              <w:t>5.864.780,11</w:t>
            </w:r>
          </w:p>
        </w:tc>
      </w:tr>
      <w:tr w:rsidR="00BA3275" w14:paraId="478E68B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D6A5BB2" w14:textId="77777777" w:rsidR="00BA3275" w:rsidRDefault="00000000">
            <w:pPr>
              <w:rPr>
                <w:rFonts w:eastAsia="Times New Roman"/>
              </w:rPr>
            </w:pPr>
            <w:r>
              <w:rPr>
                <w:rFonts w:ascii="Arial" w:eastAsia="Times New Roman" w:hAnsi="Arial" w:cs="Arial"/>
                <w:sz w:val="16"/>
                <w:szCs w:val="16"/>
              </w:rPr>
              <w:t>Rendas de Domicílio Bancário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544CB69F" w14:textId="77777777" w:rsidR="00BA3275" w:rsidRDefault="00000000" w:rsidP="002F11A6">
            <w:pPr>
              <w:jc w:val="right"/>
              <w:rPr>
                <w:rFonts w:eastAsia="Times New Roman"/>
              </w:rPr>
            </w:pPr>
            <w:r>
              <w:rPr>
                <w:rFonts w:ascii="Arial" w:eastAsia="Times New Roman" w:hAnsi="Arial" w:cs="Arial"/>
                <w:sz w:val="16"/>
                <w:szCs w:val="16"/>
              </w:rPr>
              <w:t>27.386,62</w:t>
            </w:r>
          </w:p>
        </w:tc>
        <w:tc>
          <w:tcPr>
            <w:tcW w:w="0" w:type="auto"/>
            <w:tcBorders>
              <w:top w:val="outset" w:sz="6" w:space="0" w:color="auto"/>
              <w:left w:val="outset" w:sz="6" w:space="0" w:color="auto"/>
              <w:bottom w:val="outset" w:sz="6" w:space="0" w:color="auto"/>
              <w:right w:val="outset" w:sz="6" w:space="0" w:color="auto"/>
            </w:tcBorders>
            <w:vAlign w:val="center"/>
            <w:hideMark/>
          </w:tcPr>
          <w:p w14:paraId="1E06CE60" w14:textId="77777777" w:rsidR="00BA3275" w:rsidRDefault="00000000" w:rsidP="002F11A6">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627FFD6" w14:textId="77777777" w:rsidR="00BA3275" w:rsidRDefault="00000000" w:rsidP="002F11A6">
            <w:pPr>
              <w:jc w:val="right"/>
              <w:rPr>
                <w:rFonts w:eastAsia="Times New Roman"/>
              </w:rPr>
            </w:pPr>
            <w:r>
              <w:rPr>
                <w:rFonts w:ascii="Arial" w:eastAsia="Times New Roman" w:hAnsi="Arial" w:cs="Arial"/>
                <w:sz w:val="16"/>
                <w:szCs w:val="16"/>
              </w:rPr>
              <w:t>27.386,62</w:t>
            </w:r>
          </w:p>
        </w:tc>
      </w:tr>
      <w:tr w:rsidR="00BA3275" w14:paraId="3997653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D551D1C" w14:textId="77777777" w:rsidR="00BA3275" w:rsidRDefault="00000000">
            <w:pPr>
              <w:rPr>
                <w:rFonts w:eastAsia="Times New Roman"/>
              </w:rPr>
            </w:pPr>
            <w:r>
              <w:rPr>
                <w:rFonts w:ascii="Arial" w:eastAsia="Times New Roman" w:hAnsi="Arial" w:cs="Arial"/>
                <w:sz w:val="16"/>
                <w:szCs w:val="16"/>
              </w:rPr>
              <w:t>Rendas de Poupança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054A9E15" w14:textId="77777777" w:rsidR="00BA3275" w:rsidRDefault="00000000" w:rsidP="002F11A6">
            <w:pPr>
              <w:jc w:val="right"/>
              <w:rPr>
                <w:rFonts w:eastAsia="Times New Roman"/>
              </w:rPr>
            </w:pPr>
            <w:r>
              <w:rPr>
                <w:rFonts w:ascii="Arial" w:eastAsia="Times New Roman" w:hAnsi="Arial" w:cs="Arial"/>
                <w:sz w:val="16"/>
                <w:szCs w:val="16"/>
              </w:rPr>
              <w:t>42.845,84</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F361E" w14:textId="77777777" w:rsidR="00BA3275" w:rsidRDefault="00000000" w:rsidP="002F11A6">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EBCFFF" w14:textId="77777777" w:rsidR="00BA3275" w:rsidRDefault="00000000" w:rsidP="002F11A6">
            <w:pPr>
              <w:jc w:val="right"/>
              <w:rPr>
                <w:rFonts w:eastAsia="Times New Roman"/>
              </w:rPr>
            </w:pPr>
            <w:r>
              <w:rPr>
                <w:rFonts w:ascii="Arial" w:eastAsia="Times New Roman" w:hAnsi="Arial" w:cs="Arial"/>
                <w:sz w:val="16"/>
                <w:szCs w:val="16"/>
              </w:rPr>
              <w:t>42.845,84</w:t>
            </w:r>
          </w:p>
        </w:tc>
      </w:tr>
      <w:tr w:rsidR="00BA3275" w14:paraId="60ABC94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011F6CD" w14:textId="77777777" w:rsidR="00BA3275" w:rsidRDefault="00000000">
            <w:pPr>
              <w:rPr>
                <w:rFonts w:eastAsia="Times New Roman"/>
              </w:rPr>
            </w:pPr>
            <w:r>
              <w:rPr>
                <w:rFonts w:ascii="Arial" w:eastAsia="Times New Roman" w:hAnsi="Arial" w:cs="Arial"/>
                <w:sz w:val="16"/>
                <w:szCs w:val="16"/>
              </w:rPr>
              <w:t>Rendas de Transações Interfinanceiras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C35BC76" w14:textId="77777777" w:rsidR="00BA3275" w:rsidRDefault="00000000" w:rsidP="002F11A6">
            <w:pPr>
              <w:jc w:val="right"/>
              <w:rPr>
                <w:rFonts w:eastAsia="Times New Roman"/>
              </w:rPr>
            </w:pPr>
            <w:r>
              <w:rPr>
                <w:rFonts w:ascii="Arial" w:eastAsia="Times New Roman" w:hAnsi="Arial" w:cs="Arial"/>
                <w:sz w:val="16"/>
                <w:szCs w:val="16"/>
              </w:rPr>
              <w:t>8.182,59</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BD83B" w14:textId="77777777" w:rsidR="00BA3275" w:rsidRDefault="00000000" w:rsidP="002F11A6">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F31CFC" w14:textId="77777777" w:rsidR="00BA3275" w:rsidRDefault="00000000" w:rsidP="002F11A6">
            <w:pPr>
              <w:jc w:val="right"/>
              <w:rPr>
                <w:rFonts w:eastAsia="Times New Roman"/>
              </w:rPr>
            </w:pPr>
            <w:r>
              <w:rPr>
                <w:rFonts w:ascii="Arial" w:eastAsia="Times New Roman" w:hAnsi="Arial" w:cs="Arial"/>
                <w:sz w:val="16"/>
                <w:szCs w:val="16"/>
              </w:rPr>
              <w:t>8.182,59</w:t>
            </w:r>
          </w:p>
        </w:tc>
      </w:tr>
      <w:tr w:rsidR="00BA3275" w14:paraId="402DD6C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956CCC4" w14:textId="77777777" w:rsidR="00BA3275"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1FA58B6" w14:textId="77777777" w:rsidR="00BA3275" w:rsidRDefault="00000000" w:rsidP="002F11A6">
            <w:pPr>
              <w:jc w:val="right"/>
              <w:rPr>
                <w:rFonts w:eastAsia="Times New Roman"/>
              </w:rPr>
            </w:pPr>
            <w:r>
              <w:rPr>
                <w:rFonts w:ascii="Arial" w:eastAsia="Times New Roman" w:hAnsi="Arial" w:cs="Arial"/>
                <w:b/>
                <w:bCs/>
                <w:sz w:val="16"/>
                <w:szCs w:val="16"/>
              </w:rPr>
              <w:t>6.230.561,32</w:t>
            </w:r>
          </w:p>
        </w:tc>
        <w:tc>
          <w:tcPr>
            <w:tcW w:w="0" w:type="auto"/>
            <w:tcBorders>
              <w:top w:val="outset" w:sz="6" w:space="0" w:color="auto"/>
              <w:left w:val="outset" w:sz="6" w:space="0" w:color="auto"/>
              <w:bottom w:val="outset" w:sz="6" w:space="0" w:color="auto"/>
              <w:right w:val="outset" w:sz="6" w:space="0" w:color="auto"/>
            </w:tcBorders>
            <w:vAlign w:val="center"/>
            <w:hideMark/>
          </w:tcPr>
          <w:p w14:paraId="0C2A3256" w14:textId="77777777" w:rsidR="00BA3275" w:rsidRDefault="00000000" w:rsidP="002F11A6">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9D9B627" w14:textId="77777777" w:rsidR="00BA3275" w:rsidRDefault="00000000" w:rsidP="002F11A6">
            <w:pPr>
              <w:jc w:val="right"/>
              <w:rPr>
                <w:rFonts w:eastAsia="Times New Roman"/>
              </w:rPr>
            </w:pPr>
            <w:r>
              <w:rPr>
                <w:rFonts w:ascii="Arial" w:eastAsia="Times New Roman" w:hAnsi="Arial" w:cs="Arial"/>
                <w:b/>
                <w:bCs/>
                <w:sz w:val="16"/>
                <w:szCs w:val="16"/>
              </w:rPr>
              <w:t>6.230.561,32</w:t>
            </w:r>
          </w:p>
        </w:tc>
      </w:tr>
    </w:tbl>
    <w:p w14:paraId="5B916707" w14:textId="187B3E03" w:rsidR="00557E7F" w:rsidRDefault="00000000">
      <w:pPr>
        <w:pStyle w:val="NormalWeb"/>
      </w:pPr>
      <w:r>
        <w:rPr>
          <w:rFonts w:ascii="Arial" w:hAnsi="Arial" w:cs="Arial"/>
          <w:b/>
          <w:bCs/>
          <w:sz w:val="20"/>
          <w:szCs w:val="20"/>
        </w:rPr>
        <w:t>7.</w:t>
      </w:r>
      <w:r w:rsidR="002F11A6">
        <w:rPr>
          <w:rFonts w:ascii="Arial" w:hAnsi="Arial" w:cs="Arial"/>
          <w:b/>
          <w:bCs/>
          <w:sz w:val="20"/>
          <w:szCs w:val="20"/>
        </w:rPr>
        <w:t>2</w:t>
      </w:r>
      <w:r>
        <w:rPr>
          <w:rFonts w:ascii="Arial" w:hAnsi="Arial" w:cs="Arial"/>
          <w:b/>
          <w:bCs/>
          <w:sz w:val="20"/>
          <w:szCs w:val="20"/>
        </w:rPr>
        <w:t xml:space="preserve"> Títulos e Créditos a Receber </w:t>
      </w:r>
    </w:p>
    <w:tbl>
      <w:tblPr>
        <w:tblW w:w="5000" w:type="pct"/>
        <w:tblCellMar>
          <w:left w:w="0" w:type="dxa"/>
          <w:right w:w="0" w:type="dxa"/>
        </w:tblCellMar>
        <w:tblLook w:val="04A0" w:firstRow="1" w:lastRow="0" w:firstColumn="1" w:lastColumn="0" w:noHBand="0" w:noVBand="1"/>
      </w:tblPr>
      <w:tblGrid>
        <w:gridCol w:w="4858"/>
        <w:gridCol w:w="1424"/>
        <w:gridCol w:w="2043"/>
        <w:gridCol w:w="1297"/>
      </w:tblGrid>
      <w:tr w:rsidR="00BA3275" w14:paraId="7765A6A5"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3D68470" w14:textId="77777777" w:rsidR="00BA3275" w:rsidRDefault="00000000">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7A38658"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57079A45"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B70F7D" w14:textId="77777777" w:rsidR="00BA3275" w:rsidRDefault="00BA327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6D9F884" w14:textId="77777777" w:rsidR="00BA3275"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31FAC14" w14:textId="77777777" w:rsidR="00BA3275"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196A15" w14:textId="77777777" w:rsidR="00BA3275" w:rsidRDefault="00000000">
            <w:pPr>
              <w:jc w:val="center"/>
              <w:rPr>
                <w:rFonts w:eastAsia="Times New Roman"/>
              </w:rPr>
            </w:pPr>
            <w:r>
              <w:rPr>
                <w:rFonts w:ascii="Arial" w:eastAsia="Times New Roman" w:hAnsi="Arial" w:cs="Arial"/>
                <w:b/>
                <w:bCs/>
                <w:sz w:val="16"/>
                <w:szCs w:val="16"/>
              </w:rPr>
              <w:t>Total</w:t>
            </w:r>
          </w:p>
        </w:tc>
      </w:tr>
      <w:tr w:rsidR="00BA3275" w14:paraId="062B732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9B61F75" w14:textId="77777777" w:rsidR="00BA3275" w:rsidRDefault="00000000">
            <w:pPr>
              <w:rPr>
                <w:rFonts w:eastAsia="Times New Roman"/>
              </w:rPr>
            </w:pPr>
            <w:r>
              <w:rPr>
                <w:rFonts w:ascii="Arial" w:eastAsia="Times New Roman" w:hAnsi="Arial" w:cs="Arial"/>
                <w:sz w:val="16"/>
                <w:szCs w:val="16"/>
              </w:rPr>
              <w:t>Valores a receber - Aluguel SIPAG 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AE1B5E7" w14:textId="77777777" w:rsidR="00BA3275" w:rsidRDefault="00000000" w:rsidP="002F11A6">
            <w:pPr>
              <w:jc w:val="right"/>
              <w:rPr>
                <w:rFonts w:eastAsia="Times New Roman"/>
              </w:rPr>
            </w:pPr>
            <w:r>
              <w:rPr>
                <w:rFonts w:ascii="Arial" w:eastAsia="Times New Roman" w:hAnsi="Arial" w:cs="Arial"/>
                <w:sz w:val="16"/>
                <w:szCs w:val="16"/>
              </w:rPr>
              <w:t>17.209,29</w:t>
            </w:r>
          </w:p>
        </w:tc>
        <w:tc>
          <w:tcPr>
            <w:tcW w:w="0" w:type="auto"/>
            <w:tcBorders>
              <w:top w:val="outset" w:sz="6" w:space="0" w:color="auto"/>
              <w:left w:val="outset" w:sz="6" w:space="0" w:color="auto"/>
              <w:bottom w:val="outset" w:sz="6" w:space="0" w:color="auto"/>
              <w:right w:val="outset" w:sz="6" w:space="0" w:color="auto"/>
            </w:tcBorders>
            <w:vAlign w:val="center"/>
            <w:hideMark/>
          </w:tcPr>
          <w:p w14:paraId="000C3610" w14:textId="77777777" w:rsidR="00BA3275" w:rsidRDefault="00000000" w:rsidP="002F11A6">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82C0CD" w14:textId="77777777" w:rsidR="00BA3275" w:rsidRDefault="00000000">
            <w:pPr>
              <w:jc w:val="right"/>
              <w:rPr>
                <w:rFonts w:eastAsia="Times New Roman"/>
              </w:rPr>
            </w:pPr>
            <w:r>
              <w:rPr>
                <w:rFonts w:ascii="Arial" w:eastAsia="Times New Roman" w:hAnsi="Arial" w:cs="Arial"/>
                <w:sz w:val="16"/>
                <w:szCs w:val="16"/>
              </w:rPr>
              <w:t>17.209,29</w:t>
            </w:r>
          </w:p>
        </w:tc>
      </w:tr>
      <w:tr w:rsidR="00BA3275" w14:paraId="423A569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BECADCD" w14:textId="77777777" w:rsidR="00BA3275"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1D47221" w14:textId="77777777" w:rsidR="00BA3275" w:rsidRDefault="00000000" w:rsidP="002F11A6">
            <w:pPr>
              <w:jc w:val="right"/>
              <w:rPr>
                <w:rFonts w:eastAsia="Times New Roman"/>
              </w:rPr>
            </w:pPr>
            <w:r>
              <w:rPr>
                <w:rFonts w:ascii="Arial" w:eastAsia="Times New Roman" w:hAnsi="Arial" w:cs="Arial"/>
                <w:b/>
                <w:bCs/>
                <w:sz w:val="16"/>
                <w:szCs w:val="16"/>
              </w:rPr>
              <w:t>17.209,29</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B41F7" w14:textId="77777777" w:rsidR="00BA3275" w:rsidRDefault="00000000" w:rsidP="002F11A6">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8E82BD" w14:textId="77777777" w:rsidR="00BA3275" w:rsidRDefault="00000000">
            <w:pPr>
              <w:jc w:val="right"/>
              <w:rPr>
                <w:rFonts w:eastAsia="Times New Roman"/>
              </w:rPr>
            </w:pPr>
            <w:r>
              <w:rPr>
                <w:rFonts w:ascii="Arial" w:eastAsia="Times New Roman" w:hAnsi="Arial" w:cs="Arial"/>
                <w:b/>
                <w:bCs/>
                <w:sz w:val="16"/>
                <w:szCs w:val="16"/>
              </w:rPr>
              <w:t>17.209,29</w:t>
            </w:r>
          </w:p>
        </w:tc>
      </w:tr>
    </w:tbl>
    <w:p w14:paraId="1A8BD68E" w14:textId="5408AC84" w:rsidR="00BA3275" w:rsidRDefault="00000000">
      <w:pPr>
        <w:pStyle w:val="NormalWeb"/>
      </w:pPr>
      <w:r>
        <w:rPr>
          <w:rFonts w:ascii="Arial" w:hAnsi="Arial" w:cs="Arial"/>
          <w:b/>
          <w:bCs/>
          <w:sz w:val="20"/>
          <w:szCs w:val="20"/>
        </w:rPr>
        <w:t>7.</w:t>
      </w:r>
      <w:r w:rsidR="002F11A6">
        <w:rPr>
          <w:rFonts w:ascii="Arial" w:hAnsi="Arial" w:cs="Arial"/>
          <w:b/>
          <w:bCs/>
          <w:sz w:val="20"/>
          <w:szCs w:val="20"/>
        </w:rPr>
        <w:t xml:space="preserve">3 </w:t>
      </w:r>
      <w:r>
        <w:rPr>
          <w:rFonts w:ascii="Arial" w:hAnsi="Arial" w:cs="Arial"/>
          <w:b/>
          <w:bCs/>
          <w:sz w:val="20"/>
          <w:szCs w:val="20"/>
        </w:rPr>
        <w:t xml:space="preserve">Devedores por Depósitos em Garantia </w:t>
      </w:r>
    </w:p>
    <w:p w14:paraId="01B2D11E" w14:textId="77777777" w:rsidR="00BA3275" w:rsidRDefault="00000000">
      <w:pPr>
        <w:pStyle w:val="NormalWeb"/>
        <w:jc w:val="both"/>
      </w:pPr>
      <w:r>
        <w:rPr>
          <w:rFonts w:ascii="Arial" w:hAnsi="Arial" w:cs="Arial"/>
          <w:sz w:val="20"/>
          <w:szCs w:val="20"/>
        </w:rPr>
        <w:t>Em Devedores por Depósitos em Garantia estão registrados os depósitos judiciais para:</w:t>
      </w:r>
    </w:p>
    <w:tbl>
      <w:tblPr>
        <w:tblW w:w="5000" w:type="pct"/>
        <w:tblCellMar>
          <w:left w:w="0" w:type="dxa"/>
          <w:right w:w="0" w:type="dxa"/>
        </w:tblCellMar>
        <w:tblLook w:val="04A0" w:firstRow="1" w:lastRow="0" w:firstColumn="1" w:lastColumn="0" w:noHBand="0" w:noVBand="1"/>
      </w:tblPr>
      <w:tblGrid>
        <w:gridCol w:w="5159"/>
        <w:gridCol w:w="1291"/>
        <w:gridCol w:w="1852"/>
        <w:gridCol w:w="1320"/>
      </w:tblGrid>
      <w:tr w:rsidR="00BA3275" w14:paraId="6A200100"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40D22F9" w14:textId="77777777" w:rsidR="00BA3275" w:rsidRDefault="00000000">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7037157"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714508DD"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D35A81" w14:textId="77777777" w:rsidR="00BA3275" w:rsidRDefault="00BA327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43EA39" w14:textId="77777777" w:rsidR="00BA3275"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D3AA4" w14:textId="77777777" w:rsidR="00BA3275"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E3F6651" w14:textId="77777777" w:rsidR="00BA3275" w:rsidRDefault="00000000">
            <w:pPr>
              <w:jc w:val="center"/>
              <w:rPr>
                <w:rFonts w:eastAsia="Times New Roman"/>
              </w:rPr>
            </w:pPr>
            <w:r>
              <w:rPr>
                <w:rFonts w:ascii="Arial" w:eastAsia="Times New Roman" w:hAnsi="Arial" w:cs="Arial"/>
                <w:b/>
                <w:bCs/>
                <w:sz w:val="16"/>
                <w:szCs w:val="16"/>
              </w:rPr>
              <w:t>Total</w:t>
            </w:r>
          </w:p>
        </w:tc>
      </w:tr>
      <w:tr w:rsidR="00BA3275" w14:paraId="564ED28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0720585" w14:textId="77777777" w:rsidR="00BA3275" w:rsidRDefault="00000000">
            <w:pPr>
              <w:rPr>
                <w:rFonts w:eastAsia="Times New Roman"/>
              </w:rPr>
            </w:pPr>
            <w:r>
              <w:rPr>
                <w:rFonts w:ascii="Arial" w:eastAsia="Times New Roman" w:hAnsi="Arial" w:cs="Arial"/>
                <w:sz w:val="16"/>
                <w:szCs w:val="16"/>
              </w:rPr>
              <w:t>PIS - Depósito Judicial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14A5CEA" w14:textId="77777777" w:rsidR="00BA3275" w:rsidRDefault="00000000" w:rsidP="002F11A6">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DB4D30" w14:textId="77777777" w:rsidR="00BA3275" w:rsidRDefault="00000000" w:rsidP="002F11A6">
            <w:pPr>
              <w:jc w:val="right"/>
              <w:rPr>
                <w:rFonts w:eastAsia="Times New Roman"/>
              </w:rPr>
            </w:pPr>
            <w:r>
              <w:rPr>
                <w:rFonts w:ascii="Arial" w:eastAsia="Times New Roman" w:hAnsi="Arial" w:cs="Arial"/>
                <w:sz w:val="16"/>
                <w:szCs w:val="16"/>
              </w:rPr>
              <w:t>104.542,40</w:t>
            </w:r>
          </w:p>
        </w:tc>
        <w:tc>
          <w:tcPr>
            <w:tcW w:w="0" w:type="auto"/>
            <w:tcBorders>
              <w:top w:val="outset" w:sz="6" w:space="0" w:color="auto"/>
              <w:left w:val="outset" w:sz="6" w:space="0" w:color="auto"/>
              <w:bottom w:val="outset" w:sz="6" w:space="0" w:color="auto"/>
              <w:right w:val="outset" w:sz="6" w:space="0" w:color="auto"/>
            </w:tcBorders>
            <w:vAlign w:val="center"/>
            <w:hideMark/>
          </w:tcPr>
          <w:p w14:paraId="542CD0B0" w14:textId="77777777" w:rsidR="00BA3275" w:rsidRDefault="00000000">
            <w:pPr>
              <w:jc w:val="right"/>
              <w:rPr>
                <w:rFonts w:eastAsia="Times New Roman"/>
              </w:rPr>
            </w:pPr>
            <w:r>
              <w:rPr>
                <w:rFonts w:ascii="Arial" w:eastAsia="Times New Roman" w:hAnsi="Arial" w:cs="Arial"/>
                <w:sz w:val="16"/>
                <w:szCs w:val="16"/>
              </w:rPr>
              <w:t>104.542,40</w:t>
            </w:r>
          </w:p>
        </w:tc>
      </w:tr>
      <w:tr w:rsidR="00BA3275" w14:paraId="3BF5ED2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8EE89DD" w14:textId="77777777" w:rsidR="00BA3275" w:rsidRDefault="00000000">
            <w:pPr>
              <w:rPr>
                <w:rFonts w:eastAsia="Times New Roman"/>
              </w:rPr>
            </w:pPr>
            <w:r>
              <w:rPr>
                <w:rFonts w:ascii="Arial" w:eastAsia="Times New Roman" w:hAnsi="Arial" w:cs="Arial"/>
                <w:sz w:val="16"/>
                <w:szCs w:val="16"/>
              </w:rPr>
              <w:t>Interposição de Recursos Trabalhistas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2BA572" w14:textId="77777777" w:rsidR="00BA3275" w:rsidRDefault="00000000" w:rsidP="002F11A6">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76EF2A" w14:textId="77777777" w:rsidR="00BA3275" w:rsidRDefault="00000000" w:rsidP="002F11A6">
            <w:pPr>
              <w:jc w:val="right"/>
              <w:rPr>
                <w:rFonts w:eastAsia="Times New Roman"/>
              </w:rPr>
            </w:pPr>
            <w:r>
              <w:rPr>
                <w:rFonts w:ascii="Arial" w:eastAsia="Times New Roman" w:hAnsi="Arial" w:cs="Arial"/>
                <w:sz w:val="16"/>
                <w:szCs w:val="16"/>
              </w:rPr>
              <w:t>7.861,89</w:t>
            </w:r>
          </w:p>
        </w:tc>
        <w:tc>
          <w:tcPr>
            <w:tcW w:w="0" w:type="auto"/>
            <w:tcBorders>
              <w:top w:val="outset" w:sz="6" w:space="0" w:color="auto"/>
              <w:left w:val="outset" w:sz="6" w:space="0" w:color="auto"/>
              <w:bottom w:val="outset" w:sz="6" w:space="0" w:color="auto"/>
              <w:right w:val="outset" w:sz="6" w:space="0" w:color="auto"/>
            </w:tcBorders>
            <w:vAlign w:val="center"/>
            <w:hideMark/>
          </w:tcPr>
          <w:p w14:paraId="50C1F58C" w14:textId="77777777" w:rsidR="00BA3275" w:rsidRDefault="00000000">
            <w:pPr>
              <w:jc w:val="right"/>
              <w:rPr>
                <w:rFonts w:eastAsia="Times New Roman"/>
              </w:rPr>
            </w:pPr>
            <w:r>
              <w:rPr>
                <w:rFonts w:ascii="Arial" w:eastAsia="Times New Roman" w:hAnsi="Arial" w:cs="Arial"/>
                <w:sz w:val="16"/>
                <w:szCs w:val="16"/>
              </w:rPr>
              <w:t>7.861,89</w:t>
            </w:r>
          </w:p>
        </w:tc>
      </w:tr>
      <w:tr w:rsidR="00BA3275" w14:paraId="20940D7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497BD38" w14:textId="77777777" w:rsidR="00BA3275" w:rsidRDefault="00000000">
            <w:pPr>
              <w:rPr>
                <w:rFonts w:eastAsia="Times New Roman"/>
              </w:rPr>
            </w:pPr>
            <w:r>
              <w:rPr>
                <w:rFonts w:ascii="Arial" w:eastAsia="Times New Roman" w:hAnsi="Arial" w:cs="Arial"/>
                <w:sz w:val="16"/>
                <w:szCs w:val="16"/>
              </w:rPr>
              <w:t>Outros Devedores por Depósito em Garantia</w:t>
            </w:r>
          </w:p>
        </w:tc>
        <w:tc>
          <w:tcPr>
            <w:tcW w:w="0" w:type="auto"/>
            <w:tcBorders>
              <w:top w:val="outset" w:sz="6" w:space="0" w:color="auto"/>
              <w:left w:val="outset" w:sz="6" w:space="0" w:color="auto"/>
              <w:bottom w:val="outset" w:sz="6" w:space="0" w:color="auto"/>
              <w:right w:val="outset" w:sz="6" w:space="0" w:color="auto"/>
            </w:tcBorders>
            <w:vAlign w:val="center"/>
            <w:hideMark/>
          </w:tcPr>
          <w:p w14:paraId="2C42F532" w14:textId="77777777" w:rsidR="00BA3275" w:rsidRDefault="00000000" w:rsidP="002F11A6">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C54F90" w14:textId="77777777" w:rsidR="00BA3275" w:rsidRDefault="00000000" w:rsidP="002F11A6">
            <w:pPr>
              <w:jc w:val="right"/>
              <w:rPr>
                <w:rFonts w:eastAsia="Times New Roman"/>
              </w:rPr>
            </w:pPr>
            <w:r>
              <w:rPr>
                <w:rFonts w:ascii="Arial" w:eastAsia="Times New Roman" w:hAnsi="Arial" w:cs="Arial"/>
                <w:sz w:val="16"/>
                <w:szCs w:val="16"/>
              </w:rPr>
              <w:t>961,37</w:t>
            </w:r>
          </w:p>
        </w:tc>
        <w:tc>
          <w:tcPr>
            <w:tcW w:w="0" w:type="auto"/>
            <w:tcBorders>
              <w:top w:val="outset" w:sz="6" w:space="0" w:color="auto"/>
              <w:left w:val="outset" w:sz="6" w:space="0" w:color="auto"/>
              <w:bottom w:val="outset" w:sz="6" w:space="0" w:color="auto"/>
              <w:right w:val="outset" w:sz="6" w:space="0" w:color="auto"/>
            </w:tcBorders>
            <w:vAlign w:val="center"/>
            <w:hideMark/>
          </w:tcPr>
          <w:p w14:paraId="6F8A1D54" w14:textId="77777777" w:rsidR="00BA3275" w:rsidRDefault="00000000">
            <w:pPr>
              <w:jc w:val="right"/>
              <w:rPr>
                <w:rFonts w:eastAsia="Times New Roman"/>
              </w:rPr>
            </w:pPr>
            <w:r>
              <w:rPr>
                <w:rFonts w:ascii="Arial" w:eastAsia="Times New Roman" w:hAnsi="Arial" w:cs="Arial"/>
                <w:sz w:val="16"/>
                <w:szCs w:val="16"/>
              </w:rPr>
              <w:t>961,37</w:t>
            </w:r>
          </w:p>
        </w:tc>
      </w:tr>
      <w:tr w:rsidR="00BA3275" w14:paraId="7691383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AD44725" w14:textId="77777777" w:rsidR="00BA3275"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CBA3EE4" w14:textId="77777777" w:rsidR="00BA3275" w:rsidRDefault="00000000" w:rsidP="002F11A6">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00B92C2" w14:textId="77777777" w:rsidR="00BA3275" w:rsidRDefault="00000000" w:rsidP="002F11A6">
            <w:pPr>
              <w:jc w:val="right"/>
              <w:rPr>
                <w:rFonts w:eastAsia="Times New Roman"/>
              </w:rPr>
            </w:pPr>
            <w:r>
              <w:rPr>
                <w:rFonts w:ascii="Arial" w:eastAsia="Times New Roman" w:hAnsi="Arial" w:cs="Arial"/>
                <w:b/>
                <w:bCs/>
                <w:sz w:val="16"/>
                <w:szCs w:val="16"/>
              </w:rPr>
              <w:t>113.365,66</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A05E7" w14:textId="77777777" w:rsidR="00BA3275" w:rsidRDefault="00000000">
            <w:pPr>
              <w:jc w:val="right"/>
              <w:rPr>
                <w:rFonts w:eastAsia="Times New Roman"/>
              </w:rPr>
            </w:pPr>
            <w:r>
              <w:rPr>
                <w:rFonts w:ascii="Arial" w:eastAsia="Times New Roman" w:hAnsi="Arial" w:cs="Arial"/>
                <w:b/>
                <w:bCs/>
                <w:sz w:val="16"/>
                <w:szCs w:val="16"/>
              </w:rPr>
              <w:t>113.365,66</w:t>
            </w:r>
          </w:p>
        </w:tc>
      </w:tr>
    </w:tbl>
    <w:p w14:paraId="10927D70" w14:textId="77777777" w:rsidR="00BA3275" w:rsidRDefault="00000000">
      <w:pPr>
        <w:pStyle w:val="NormalWeb"/>
      </w:pPr>
      <w:r>
        <w:rPr>
          <w:rFonts w:ascii="Arial" w:hAnsi="Arial" w:cs="Arial"/>
          <w:b/>
          <w:bCs/>
          <w:sz w:val="20"/>
          <w:szCs w:val="20"/>
        </w:rPr>
        <w:t>8. Ativos Fiscais, Correntes e Diferidos</w:t>
      </w:r>
    </w:p>
    <w:p w14:paraId="5EE2DA72" w14:textId="77777777" w:rsidR="00BA3275" w:rsidRDefault="00000000">
      <w:pPr>
        <w:pStyle w:val="NormalWeb"/>
        <w:jc w:val="both"/>
      </w:pPr>
      <w:r>
        <w:rPr>
          <w:rFonts w:ascii="Arial" w:hAnsi="Arial" w:cs="Arial"/>
          <w:sz w:val="20"/>
          <w:szCs w:val="20"/>
        </w:rPr>
        <w:lastRenderedPageBreak/>
        <w:t>Em 30 de junho de 2025, os ativos fiscais, correntes e diferidos estão assim compostos:</w:t>
      </w:r>
    </w:p>
    <w:tbl>
      <w:tblPr>
        <w:tblW w:w="5000" w:type="pct"/>
        <w:tblCellMar>
          <w:left w:w="0" w:type="dxa"/>
          <w:right w:w="0" w:type="dxa"/>
        </w:tblCellMar>
        <w:tblLook w:val="04A0" w:firstRow="1" w:lastRow="0" w:firstColumn="1" w:lastColumn="0" w:noHBand="0" w:noVBand="1"/>
      </w:tblPr>
      <w:tblGrid>
        <w:gridCol w:w="5412"/>
        <w:gridCol w:w="1218"/>
        <w:gridCol w:w="1747"/>
        <w:gridCol w:w="1245"/>
      </w:tblGrid>
      <w:tr w:rsidR="00BA3275" w14:paraId="75A1B86C"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FE3406C" w14:textId="77777777" w:rsidR="00BA3275" w:rsidRDefault="00000000">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C2B567D"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31CDF6C0"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2CFE38" w14:textId="77777777" w:rsidR="00BA3275" w:rsidRDefault="00BA327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219544" w14:textId="77777777" w:rsidR="00BA3275"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0683343" w14:textId="77777777" w:rsidR="00BA3275"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88357DA" w14:textId="77777777" w:rsidR="00BA3275" w:rsidRDefault="00000000">
            <w:pPr>
              <w:jc w:val="center"/>
              <w:rPr>
                <w:rFonts w:eastAsia="Times New Roman"/>
              </w:rPr>
            </w:pPr>
            <w:r>
              <w:rPr>
                <w:rFonts w:ascii="Arial" w:eastAsia="Times New Roman" w:hAnsi="Arial" w:cs="Arial"/>
                <w:b/>
                <w:bCs/>
                <w:sz w:val="16"/>
                <w:szCs w:val="16"/>
              </w:rPr>
              <w:t>Total</w:t>
            </w:r>
          </w:p>
        </w:tc>
      </w:tr>
      <w:tr w:rsidR="002F11A6" w14:paraId="13BA37E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57FF233" w14:textId="77777777" w:rsidR="002F11A6" w:rsidRDefault="002F11A6" w:rsidP="002F11A6">
            <w:pPr>
              <w:rPr>
                <w:rFonts w:eastAsia="Times New Roman"/>
              </w:rPr>
            </w:pPr>
            <w:r>
              <w:rPr>
                <w:rFonts w:ascii="Arial" w:eastAsia="Times New Roman" w:hAnsi="Arial" w:cs="Arial"/>
                <w:sz w:val="16"/>
                <w:szCs w:val="16"/>
              </w:rPr>
              <w:t>IRPJ não compensado no próprio exercício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587B6F2F" w14:textId="1CF005BA" w:rsidR="002F11A6" w:rsidRDefault="002F11A6" w:rsidP="002F11A6">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265440E" w14:textId="15003D15" w:rsidR="002F11A6" w:rsidRDefault="002F11A6" w:rsidP="002F11A6">
            <w:pPr>
              <w:jc w:val="right"/>
              <w:rPr>
                <w:rFonts w:eastAsia="Times New Roman"/>
              </w:rPr>
            </w:pPr>
            <w:r>
              <w:rPr>
                <w:rFonts w:ascii="Arial" w:eastAsia="Times New Roman" w:hAnsi="Arial" w:cs="Arial"/>
                <w:sz w:val="16"/>
                <w:szCs w:val="16"/>
              </w:rPr>
              <w:t>419.062,01</w:t>
            </w:r>
          </w:p>
        </w:tc>
        <w:tc>
          <w:tcPr>
            <w:tcW w:w="0" w:type="auto"/>
            <w:tcBorders>
              <w:top w:val="outset" w:sz="6" w:space="0" w:color="auto"/>
              <w:left w:val="outset" w:sz="6" w:space="0" w:color="auto"/>
              <w:bottom w:val="outset" w:sz="6" w:space="0" w:color="auto"/>
              <w:right w:val="outset" w:sz="6" w:space="0" w:color="auto"/>
            </w:tcBorders>
            <w:vAlign w:val="center"/>
            <w:hideMark/>
          </w:tcPr>
          <w:p w14:paraId="51F088BA" w14:textId="77777777" w:rsidR="002F11A6" w:rsidRDefault="002F11A6" w:rsidP="002F11A6">
            <w:pPr>
              <w:jc w:val="right"/>
              <w:rPr>
                <w:rFonts w:eastAsia="Times New Roman"/>
              </w:rPr>
            </w:pPr>
            <w:r>
              <w:rPr>
                <w:rFonts w:ascii="Arial" w:eastAsia="Times New Roman" w:hAnsi="Arial" w:cs="Arial"/>
                <w:sz w:val="16"/>
                <w:szCs w:val="16"/>
              </w:rPr>
              <w:t>419.062,01</w:t>
            </w:r>
          </w:p>
        </w:tc>
      </w:tr>
      <w:tr w:rsidR="002F11A6" w14:paraId="076A673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9FEE404" w14:textId="77777777" w:rsidR="002F11A6" w:rsidRDefault="002F11A6" w:rsidP="002F11A6">
            <w:pPr>
              <w:rPr>
                <w:rFonts w:eastAsia="Times New Roman"/>
              </w:rPr>
            </w:pPr>
            <w:r>
              <w:rPr>
                <w:rFonts w:ascii="Arial" w:eastAsia="Times New Roman" w:hAnsi="Arial" w:cs="Arial"/>
                <w:sz w:val="16"/>
                <w:szCs w:val="16"/>
              </w:rPr>
              <w:t>CSLL não compensado no próprio exercício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727E6483" w14:textId="2A633CC0" w:rsidR="002F11A6" w:rsidRDefault="002F11A6" w:rsidP="002F11A6">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E2E77A" w14:textId="7B048C27" w:rsidR="002F11A6" w:rsidRDefault="002F11A6" w:rsidP="002F11A6">
            <w:pPr>
              <w:jc w:val="right"/>
              <w:rPr>
                <w:rFonts w:eastAsia="Times New Roman"/>
              </w:rPr>
            </w:pPr>
            <w:r>
              <w:rPr>
                <w:rFonts w:ascii="Arial" w:eastAsia="Times New Roman" w:hAnsi="Arial" w:cs="Arial"/>
                <w:sz w:val="16"/>
                <w:szCs w:val="16"/>
              </w:rPr>
              <w:t>237.967,60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7371F" w14:textId="77777777" w:rsidR="002F11A6" w:rsidRDefault="002F11A6" w:rsidP="002F11A6">
            <w:pPr>
              <w:jc w:val="right"/>
              <w:rPr>
                <w:rFonts w:eastAsia="Times New Roman"/>
              </w:rPr>
            </w:pPr>
            <w:r>
              <w:rPr>
                <w:rFonts w:ascii="Arial" w:eastAsia="Times New Roman" w:hAnsi="Arial" w:cs="Arial"/>
                <w:sz w:val="16"/>
                <w:szCs w:val="16"/>
              </w:rPr>
              <w:t>237.967,60</w:t>
            </w:r>
          </w:p>
        </w:tc>
      </w:tr>
      <w:tr w:rsidR="002F11A6" w14:paraId="3F9C3AA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806A9B6" w14:textId="77777777" w:rsidR="002F11A6" w:rsidRDefault="002F11A6" w:rsidP="002F11A6">
            <w:pPr>
              <w:rPr>
                <w:rFonts w:eastAsia="Times New Roman"/>
              </w:rPr>
            </w:pPr>
            <w:r>
              <w:rPr>
                <w:rFonts w:ascii="Arial" w:eastAsia="Times New Roman" w:hAnsi="Arial" w:cs="Arial"/>
                <w:sz w:val="16"/>
                <w:szCs w:val="16"/>
              </w:rPr>
              <w:t>Contribuição Social - antecipações - a compensar</w:t>
            </w:r>
          </w:p>
        </w:tc>
        <w:tc>
          <w:tcPr>
            <w:tcW w:w="0" w:type="auto"/>
            <w:tcBorders>
              <w:top w:val="outset" w:sz="6" w:space="0" w:color="auto"/>
              <w:left w:val="outset" w:sz="6" w:space="0" w:color="auto"/>
              <w:bottom w:val="outset" w:sz="6" w:space="0" w:color="auto"/>
              <w:right w:val="outset" w:sz="6" w:space="0" w:color="auto"/>
            </w:tcBorders>
            <w:vAlign w:val="center"/>
            <w:hideMark/>
          </w:tcPr>
          <w:p w14:paraId="52A960D7" w14:textId="7485A35F" w:rsidR="002F11A6" w:rsidRDefault="002F11A6" w:rsidP="002F11A6">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6F4FB03" w14:textId="22F4520E" w:rsidR="002F11A6" w:rsidRDefault="002F11A6" w:rsidP="002F11A6">
            <w:pPr>
              <w:jc w:val="right"/>
              <w:rPr>
                <w:rFonts w:eastAsia="Times New Roman"/>
              </w:rPr>
            </w:pPr>
            <w:r>
              <w:rPr>
                <w:rFonts w:ascii="Arial" w:eastAsia="Times New Roman" w:hAnsi="Arial" w:cs="Arial"/>
                <w:sz w:val="16"/>
                <w:szCs w:val="16"/>
              </w:rPr>
              <w:t>26.763,07</w:t>
            </w:r>
          </w:p>
        </w:tc>
        <w:tc>
          <w:tcPr>
            <w:tcW w:w="0" w:type="auto"/>
            <w:tcBorders>
              <w:top w:val="outset" w:sz="6" w:space="0" w:color="auto"/>
              <w:left w:val="outset" w:sz="6" w:space="0" w:color="auto"/>
              <w:bottom w:val="outset" w:sz="6" w:space="0" w:color="auto"/>
              <w:right w:val="outset" w:sz="6" w:space="0" w:color="auto"/>
            </w:tcBorders>
            <w:vAlign w:val="center"/>
            <w:hideMark/>
          </w:tcPr>
          <w:p w14:paraId="3F4E72F0" w14:textId="77777777" w:rsidR="002F11A6" w:rsidRDefault="002F11A6" w:rsidP="002F11A6">
            <w:pPr>
              <w:jc w:val="right"/>
              <w:rPr>
                <w:rFonts w:eastAsia="Times New Roman"/>
              </w:rPr>
            </w:pPr>
            <w:r>
              <w:rPr>
                <w:rFonts w:ascii="Arial" w:eastAsia="Times New Roman" w:hAnsi="Arial" w:cs="Arial"/>
                <w:sz w:val="16"/>
                <w:szCs w:val="16"/>
              </w:rPr>
              <w:t>26.763,07</w:t>
            </w:r>
          </w:p>
        </w:tc>
      </w:tr>
      <w:tr w:rsidR="002F11A6" w14:paraId="781A6FF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782EDDC" w14:textId="77777777" w:rsidR="002F11A6" w:rsidRDefault="002F11A6" w:rsidP="002F11A6">
            <w:pPr>
              <w:rPr>
                <w:rFonts w:eastAsia="Times New Roman"/>
              </w:rPr>
            </w:pPr>
            <w:r>
              <w:rPr>
                <w:rFonts w:ascii="Arial" w:eastAsia="Times New Roman" w:hAnsi="Arial" w:cs="Arial"/>
                <w:sz w:val="16"/>
                <w:szCs w:val="16"/>
              </w:rPr>
              <w:t>IRPJ - antecipações - a compensar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4EBFEEB" w14:textId="412511A5" w:rsidR="002F11A6" w:rsidRDefault="002F11A6" w:rsidP="002F11A6">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F49BA" w14:textId="273C2988" w:rsidR="002F11A6" w:rsidRDefault="002F11A6" w:rsidP="002F11A6">
            <w:pPr>
              <w:jc w:val="right"/>
              <w:rPr>
                <w:rFonts w:eastAsia="Times New Roman"/>
              </w:rPr>
            </w:pPr>
            <w:r>
              <w:rPr>
                <w:rFonts w:ascii="Arial" w:eastAsia="Times New Roman" w:hAnsi="Arial" w:cs="Arial"/>
                <w:sz w:val="16"/>
                <w:szCs w:val="16"/>
              </w:rPr>
              <w:t>52.102,32</w:t>
            </w:r>
          </w:p>
        </w:tc>
        <w:tc>
          <w:tcPr>
            <w:tcW w:w="0" w:type="auto"/>
            <w:tcBorders>
              <w:top w:val="outset" w:sz="6" w:space="0" w:color="auto"/>
              <w:left w:val="outset" w:sz="6" w:space="0" w:color="auto"/>
              <w:bottom w:val="outset" w:sz="6" w:space="0" w:color="auto"/>
              <w:right w:val="outset" w:sz="6" w:space="0" w:color="auto"/>
            </w:tcBorders>
            <w:vAlign w:val="center"/>
            <w:hideMark/>
          </w:tcPr>
          <w:p w14:paraId="55DC1B91" w14:textId="77777777" w:rsidR="002F11A6" w:rsidRDefault="002F11A6" w:rsidP="002F11A6">
            <w:pPr>
              <w:jc w:val="right"/>
              <w:rPr>
                <w:rFonts w:eastAsia="Times New Roman"/>
              </w:rPr>
            </w:pPr>
            <w:r>
              <w:rPr>
                <w:rFonts w:ascii="Arial" w:eastAsia="Times New Roman" w:hAnsi="Arial" w:cs="Arial"/>
                <w:sz w:val="16"/>
                <w:szCs w:val="16"/>
              </w:rPr>
              <w:t>52.102,32</w:t>
            </w:r>
          </w:p>
        </w:tc>
      </w:tr>
      <w:tr w:rsidR="002F11A6" w14:paraId="08EC286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945BB29" w14:textId="77777777" w:rsidR="002F11A6" w:rsidRDefault="002F11A6" w:rsidP="002F11A6">
            <w:pPr>
              <w:rPr>
                <w:rFonts w:eastAsia="Times New Roman"/>
              </w:rPr>
            </w:pPr>
            <w:r>
              <w:rPr>
                <w:rFonts w:ascii="Arial" w:eastAsia="Times New Roman" w:hAnsi="Arial" w:cs="Arial"/>
                <w:sz w:val="16"/>
                <w:szCs w:val="16"/>
              </w:rPr>
              <w:t>ISS - imposto s/serviços - a compensar</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9CD5D" w14:textId="3B50CC9A" w:rsidR="002F11A6" w:rsidRDefault="002F11A6" w:rsidP="002F11A6">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5B84ED7" w14:textId="312A4810" w:rsidR="002F11A6" w:rsidRDefault="002F11A6" w:rsidP="002F11A6">
            <w:pPr>
              <w:jc w:val="right"/>
              <w:rPr>
                <w:rFonts w:eastAsia="Times New Roman"/>
              </w:rPr>
            </w:pPr>
            <w:r>
              <w:rPr>
                <w:rFonts w:ascii="Arial" w:eastAsia="Times New Roman" w:hAnsi="Arial" w:cs="Arial"/>
                <w:sz w:val="16"/>
                <w:szCs w:val="16"/>
              </w:rPr>
              <w:t>67,73</w:t>
            </w:r>
          </w:p>
        </w:tc>
        <w:tc>
          <w:tcPr>
            <w:tcW w:w="0" w:type="auto"/>
            <w:tcBorders>
              <w:top w:val="outset" w:sz="6" w:space="0" w:color="auto"/>
              <w:left w:val="outset" w:sz="6" w:space="0" w:color="auto"/>
              <w:bottom w:val="outset" w:sz="6" w:space="0" w:color="auto"/>
              <w:right w:val="outset" w:sz="6" w:space="0" w:color="auto"/>
            </w:tcBorders>
            <w:vAlign w:val="center"/>
            <w:hideMark/>
          </w:tcPr>
          <w:p w14:paraId="2AB550DE" w14:textId="77777777" w:rsidR="002F11A6" w:rsidRDefault="002F11A6" w:rsidP="002F11A6">
            <w:pPr>
              <w:jc w:val="right"/>
              <w:rPr>
                <w:rFonts w:eastAsia="Times New Roman"/>
              </w:rPr>
            </w:pPr>
            <w:r>
              <w:rPr>
                <w:rFonts w:ascii="Arial" w:eastAsia="Times New Roman" w:hAnsi="Arial" w:cs="Arial"/>
                <w:sz w:val="16"/>
                <w:szCs w:val="16"/>
              </w:rPr>
              <w:t>67,73</w:t>
            </w:r>
          </w:p>
        </w:tc>
      </w:tr>
      <w:tr w:rsidR="002F11A6" w14:paraId="7FC47F2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6D76D8E" w14:textId="77777777" w:rsidR="002F11A6" w:rsidRDefault="002F11A6" w:rsidP="002F11A6">
            <w:pPr>
              <w:rPr>
                <w:rFonts w:eastAsia="Times New Roman"/>
              </w:rPr>
            </w:pPr>
            <w:r>
              <w:rPr>
                <w:rFonts w:ascii="Arial" w:eastAsia="Times New Roman" w:hAnsi="Arial" w:cs="Arial"/>
                <w:sz w:val="16"/>
                <w:szCs w:val="16"/>
              </w:rPr>
              <w:t>Valores a restituir - PERDCOMP</w:t>
            </w:r>
          </w:p>
        </w:tc>
        <w:tc>
          <w:tcPr>
            <w:tcW w:w="0" w:type="auto"/>
            <w:tcBorders>
              <w:top w:val="outset" w:sz="6" w:space="0" w:color="auto"/>
              <w:left w:val="outset" w:sz="6" w:space="0" w:color="auto"/>
              <w:bottom w:val="outset" w:sz="6" w:space="0" w:color="auto"/>
              <w:right w:val="outset" w:sz="6" w:space="0" w:color="auto"/>
            </w:tcBorders>
            <w:vAlign w:val="center"/>
            <w:hideMark/>
          </w:tcPr>
          <w:p w14:paraId="7192D4DF" w14:textId="365039C6" w:rsidR="002F11A6" w:rsidRDefault="002F11A6" w:rsidP="002F11A6">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D6B9F" w14:textId="3D333A07" w:rsidR="002F11A6" w:rsidRDefault="002F11A6" w:rsidP="002F11A6">
            <w:pPr>
              <w:jc w:val="right"/>
              <w:rPr>
                <w:rFonts w:eastAsia="Times New Roman"/>
              </w:rPr>
            </w:pPr>
            <w:r>
              <w:rPr>
                <w:rFonts w:ascii="Arial" w:eastAsia="Times New Roman" w:hAnsi="Arial" w:cs="Arial"/>
                <w:sz w:val="16"/>
                <w:szCs w:val="16"/>
              </w:rPr>
              <w:t>2.179,33</w:t>
            </w:r>
          </w:p>
        </w:tc>
        <w:tc>
          <w:tcPr>
            <w:tcW w:w="0" w:type="auto"/>
            <w:tcBorders>
              <w:top w:val="outset" w:sz="6" w:space="0" w:color="auto"/>
              <w:left w:val="outset" w:sz="6" w:space="0" w:color="auto"/>
              <w:bottom w:val="outset" w:sz="6" w:space="0" w:color="auto"/>
              <w:right w:val="outset" w:sz="6" w:space="0" w:color="auto"/>
            </w:tcBorders>
            <w:vAlign w:val="center"/>
            <w:hideMark/>
          </w:tcPr>
          <w:p w14:paraId="1D1668F0" w14:textId="77777777" w:rsidR="002F11A6" w:rsidRDefault="002F11A6" w:rsidP="002F11A6">
            <w:pPr>
              <w:jc w:val="right"/>
              <w:rPr>
                <w:rFonts w:eastAsia="Times New Roman"/>
              </w:rPr>
            </w:pPr>
            <w:r>
              <w:rPr>
                <w:rFonts w:ascii="Arial" w:eastAsia="Times New Roman" w:hAnsi="Arial" w:cs="Arial"/>
                <w:sz w:val="16"/>
                <w:szCs w:val="16"/>
              </w:rPr>
              <w:t>2.179,33</w:t>
            </w:r>
          </w:p>
        </w:tc>
      </w:tr>
      <w:tr w:rsidR="002F11A6" w14:paraId="41FCEA0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04FBFD5" w14:textId="77777777" w:rsidR="002F11A6" w:rsidRDefault="002F11A6" w:rsidP="002F11A6">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E7F2A2A" w14:textId="2F300BF5" w:rsidR="002F11A6" w:rsidRDefault="002F11A6" w:rsidP="002F11A6">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817AA7" w14:textId="25CC4877" w:rsidR="002F11A6" w:rsidRDefault="002F11A6" w:rsidP="002F11A6">
            <w:pPr>
              <w:jc w:val="right"/>
              <w:rPr>
                <w:rFonts w:eastAsia="Times New Roman"/>
              </w:rPr>
            </w:pPr>
            <w:r>
              <w:rPr>
                <w:rFonts w:ascii="Arial" w:eastAsia="Times New Roman" w:hAnsi="Arial" w:cs="Arial"/>
                <w:b/>
                <w:bCs/>
                <w:sz w:val="16"/>
                <w:szCs w:val="16"/>
              </w:rPr>
              <w:t>738.142,06</w:t>
            </w:r>
          </w:p>
        </w:tc>
        <w:tc>
          <w:tcPr>
            <w:tcW w:w="0" w:type="auto"/>
            <w:tcBorders>
              <w:top w:val="outset" w:sz="6" w:space="0" w:color="auto"/>
              <w:left w:val="outset" w:sz="6" w:space="0" w:color="auto"/>
              <w:bottom w:val="outset" w:sz="6" w:space="0" w:color="auto"/>
              <w:right w:val="outset" w:sz="6" w:space="0" w:color="auto"/>
            </w:tcBorders>
            <w:vAlign w:val="center"/>
            <w:hideMark/>
          </w:tcPr>
          <w:p w14:paraId="554B3A00" w14:textId="77777777" w:rsidR="002F11A6" w:rsidRDefault="002F11A6" w:rsidP="002F11A6">
            <w:pPr>
              <w:jc w:val="right"/>
              <w:rPr>
                <w:rFonts w:eastAsia="Times New Roman"/>
              </w:rPr>
            </w:pPr>
            <w:r>
              <w:rPr>
                <w:rFonts w:ascii="Arial" w:eastAsia="Times New Roman" w:hAnsi="Arial" w:cs="Arial"/>
                <w:b/>
                <w:bCs/>
                <w:sz w:val="16"/>
                <w:szCs w:val="16"/>
              </w:rPr>
              <w:t>738.142,06</w:t>
            </w:r>
          </w:p>
        </w:tc>
      </w:tr>
    </w:tbl>
    <w:p w14:paraId="3156864F" w14:textId="77777777" w:rsidR="00BA3275" w:rsidRDefault="00000000">
      <w:pPr>
        <w:pStyle w:val="NormalWeb"/>
      </w:pPr>
      <w:r>
        <w:rPr>
          <w:rFonts w:ascii="Arial" w:hAnsi="Arial" w:cs="Arial"/>
          <w:b/>
          <w:bCs/>
          <w:sz w:val="20"/>
          <w:szCs w:val="20"/>
        </w:rPr>
        <w:t>9. Outros Ativos</w:t>
      </w:r>
    </w:p>
    <w:p w14:paraId="5F6B49EE" w14:textId="77777777" w:rsidR="00BA3275" w:rsidRDefault="00000000">
      <w:pPr>
        <w:pStyle w:val="NormalWeb"/>
        <w:jc w:val="both"/>
      </w:pPr>
      <w:r>
        <w:rPr>
          <w:rFonts w:ascii="Arial" w:hAnsi="Arial" w:cs="Arial"/>
          <w:sz w:val="20"/>
          <w:szCs w:val="20"/>
        </w:rPr>
        <w:t>Em 30 de junho de 2025, os outros ativos estão assim compostos:</w:t>
      </w:r>
    </w:p>
    <w:tbl>
      <w:tblPr>
        <w:tblW w:w="5000" w:type="pct"/>
        <w:tblCellMar>
          <w:left w:w="0" w:type="dxa"/>
          <w:right w:w="0" w:type="dxa"/>
        </w:tblCellMar>
        <w:tblLook w:val="04A0" w:firstRow="1" w:lastRow="0" w:firstColumn="1" w:lastColumn="0" w:noHBand="0" w:noVBand="1"/>
      </w:tblPr>
      <w:tblGrid>
        <w:gridCol w:w="5551"/>
        <w:gridCol w:w="1270"/>
        <w:gridCol w:w="1531"/>
        <w:gridCol w:w="1270"/>
      </w:tblGrid>
      <w:tr w:rsidR="00BA3275" w14:paraId="6DE5BC88"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200295F" w14:textId="77777777" w:rsidR="00BA3275" w:rsidRDefault="00000000">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B3FE94B"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7084CECF"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17EA8E4" w14:textId="77777777" w:rsidR="00BA3275" w:rsidRDefault="00BA327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321F37F" w14:textId="77777777" w:rsidR="00BA3275"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886F940" w14:textId="77777777" w:rsidR="00BA3275"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D14C2E0" w14:textId="77777777" w:rsidR="00BA3275" w:rsidRDefault="00000000">
            <w:pPr>
              <w:jc w:val="center"/>
              <w:rPr>
                <w:rFonts w:eastAsia="Times New Roman"/>
              </w:rPr>
            </w:pPr>
            <w:r>
              <w:rPr>
                <w:rFonts w:ascii="Arial" w:eastAsia="Times New Roman" w:hAnsi="Arial" w:cs="Arial"/>
                <w:b/>
                <w:bCs/>
                <w:sz w:val="16"/>
                <w:szCs w:val="16"/>
              </w:rPr>
              <w:t>Total</w:t>
            </w:r>
          </w:p>
        </w:tc>
      </w:tr>
      <w:tr w:rsidR="00BA3275" w14:paraId="56F6B81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1FEC752" w14:textId="77777777" w:rsidR="00BA3275" w:rsidRDefault="00000000">
            <w:pPr>
              <w:rPr>
                <w:rFonts w:eastAsia="Times New Roman"/>
              </w:rPr>
            </w:pPr>
            <w:r>
              <w:rPr>
                <w:rFonts w:ascii="Arial" w:eastAsia="Times New Roman" w:hAnsi="Arial" w:cs="Arial"/>
                <w:sz w:val="16"/>
                <w:szCs w:val="16"/>
              </w:rPr>
              <w:t>Adiantamentos e Antecipações Salariais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63172D4" w14:textId="77777777" w:rsidR="00BA3275" w:rsidRDefault="00000000" w:rsidP="002F11A6">
            <w:pPr>
              <w:jc w:val="right"/>
              <w:rPr>
                <w:rFonts w:eastAsia="Times New Roman"/>
              </w:rPr>
            </w:pPr>
            <w:r>
              <w:rPr>
                <w:rFonts w:ascii="Arial" w:eastAsia="Times New Roman" w:hAnsi="Arial" w:cs="Arial"/>
                <w:sz w:val="16"/>
                <w:szCs w:val="16"/>
              </w:rPr>
              <w:t>208.435,53</w:t>
            </w:r>
          </w:p>
        </w:tc>
        <w:tc>
          <w:tcPr>
            <w:tcW w:w="0" w:type="auto"/>
            <w:tcBorders>
              <w:top w:val="outset" w:sz="6" w:space="0" w:color="auto"/>
              <w:left w:val="outset" w:sz="6" w:space="0" w:color="auto"/>
              <w:bottom w:val="outset" w:sz="6" w:space="0" w:color="auto"/>
              <w:right w:val="outset" w:sz="6" w:space="0" w:color="auto"/>
            </w:tcBorders>
            <w:vAlign w:val="center"/>
            <w:hideMark/>
          </w:tcPr>
          <w:p w14:paraId="020EE0EC" w14:textId="77777777" w:rsidR="00BA3275" w:rsidRDefault="00000000" w:rsidP="002F11A6">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FD7702A" w14:textId="77777777" w:rsidR="00BA3275" w:rsidRDefault="00000000">
            <w:pPr>
              <w:jc w:val="right"/>
              <w:rPr>
                <w:rFonts w:eastAsia="Times New Roman"/>
              </w:rPr>
            </w:pPr>
            <w:r>
              <w:rPr>
                <w:rFonts w:ascii="Arial" w:eastAsia="Times New Roman" w:hAnsi="Arial" w:cs="Arial"/>
                <w:sz w:val="16"/>
                <w:szCs w:val="16"/>
              </w:rPr>
              <w:t>208.435,53</w:t>
            </w:r>
          </w:p>
        </w:tc>
      </w:tr>
      <w:tr w:rsidR="00BA3275" w14:paraId="54A6BAB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2019ACE" w14:textId="77777777" w:rsidR="00BA3275" w:rsidRDefault="00000000">
            <w:pPr>
              <w:rPr>
                <w:rFonts w:eastAsia="Times New Roman"/>
              </w:rPr>
            </w:pPr>
            <w:r>
              <w:rPr>
                <w:rFonts w:ascii="Arial" w:eastAsia="Times New Roman" w:hAnsi="Arial" w:cs="Arial"/>
                <w:sz w:val="16"/>
                <w:szCs w:val="16"/>
              </w:rPr>
              <w:t>Adiantamentos para Pagamentos de nossa Conta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29CB71D" w14:textId="77777777" w:rsidR="00BA3275" w:rsidRDefault="00000000" w:rsidP="002F11A6">
            <w:pPr>
              <w:jc w:val="right"/>
              <w:rPr>
                <w:rFonts w:eastAsia="Times New Roman"/>
              </w:rPr>
            </w:pPr>
            <w:r>
              <w:rPr>
                <w:rFonts w:ascii="Arial" w:eastAsia="Times New Roman" w:hAnsi="Arial" w:cs="Arial"/>
                <w:sz w:val="16"/>
                <w:szCs w:val="16"/>
              </w:rPr>
              <w:t>5.608,57</w:t>
            </w:r>
          </w:p>
        </w:tc>
        <w:tc>
          <w:tcPr>
            <w:tcW w:w="0" w:type="auto"/>
            <w:tcBorders>
              <w:top w:val="outset" w:sz="6" w:space="0" w:color="auto"/>
              <w:left w:val="outset" w:sz="6" w:space="0" w:color="auto"/>
              <w:bottom w:val="outset" w:sz="6" w:space="0" w:color="auto"/>
              <w:right w:val="outset" w:sz="6" w:space="0" w:color="auto"/>
            </w:tcBorders>
            <w:vAlign w:val="center"/>
            <w:hideMark/>
          </w:tcPr>
          <w:p w14:paraId="7129AB0C" w14:textId="77777777" w:rsidR="00BA3275" w:rsidRDefault="00000000" w:rsidP="002F11A6">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693F18E" w14:textId="77777777" w:rsidR="00BA3275" w:rsidRDefault="00000000">
            <w:pPr>
              <w:jc w:val="right"/>
              <w:rPr>
                <w:rFonts w:eastAsia="Times New Roman"/>
              </w:rPr>
            </w:pPr>
            <w:r>
              <w:rPr>
                <w:rFonts w:ascii="Arial" w:eastAsia="Times New Roman" w:hAnsi="Arial" w:cs="Arial"/>
                <w:sz w:val="16"/>
                <w:szCs w:val="16"/>
              </w:rPr>
              <w:t>5.608,57</w:t>
            </w:r>
          </w:p>
        </w:tc>
      </w:tr>
      <w:tr w:rsidR="00BA3275" w14:paraId="405C589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B55C810" w14:textId="44CB7C4B" w:rsidR="00BA3275" w:rsidRDefault="00000000">
            <w:pPr>
              <w:rPr>
                <w:rFonts w:eastAsia="Times New Roman"/>
              </w:rPr>
            </w:pPr>
            <w:r>
              <w:rPr>
                <w:rFonts w:ascii="Arial" w:eastAsia="Times New Roman" w:hAnsi="Arial" w:cs="Arial"/>
                <w:sz w:val="16"/>
                <w:szCs w:val="16"/>
              </w:rPr>
              <w:t xml:space="preserve">Devedores Diversos </w:t>
            </w:r>
            <w:r w:rsidR="002F11A6">
              <w:rPr>
                <w:rFonts w:ascii="Arial" w:eastAsia="Times New Roman" w:hAnsi="Arial" w:cs="Arial"/>
                <w:sz w:val="16"/>
                <w:szCs w:val="16"/>
              </w:rPr>
              <w:t>–</w:t>
            </w:r>
            <w:r>
              <w:rPr>
                <w:rFonts w:ascii="Arial" w:eastAsia="Times New Roman" w:hAnsi="Arial" w:cs="Arial"/>
                <w:sz w:val="16"/>
                <w:szCs w:val="16"/>
              </w:rPr>
              <w:t xml:space="preserve"> País</w:t>
            </w:r>
            <w:r w:rsidR="002F11A6">
              <w:rPr>
                <w:rFonts w:ascii="Arial" w:eastAsia="Times New Roman" w:hAnsi="Arial" w:cs="Arial"/>
                <w:sz w:val="16"/>
                <w:szCs w:val="16"/>
              </w:rPr>
              <w:t xml:space="preserve"> (9.1)</w:t>
            </w:r>
          </w:p>
        </w:tc>
        <w:tc>
          <w:tcPr>
            <w:tcW w:w="0" w:type="auto"/>
            <w:tcBorders>
              <w:top w:val="outset" w:sz="6" w:space="0" w:color="auto"/>
              <w:left w:val="outset" w:sz="6" w:space="0" w:color="auto"/>
              <w:bottom w:val="outset" w:sz="6" w:space="0" w:color="auto"/>
              <w:right w:val="outset" w:sz="6" w:space="0" w:color="auto"/>
            </w:tcBorders>
            <w:vAlign w:val="center"/>
            <w:hideMark/>
          </w:tcPr>
          <w:p w14:paraId="44E8CF86" w14:textId="77777777" w:rsidR="00BA3275" w:rsidRDefault="00000000" w:rsidP="002F11A6">
            <w:pPr>
              <w:jc w:val="right"/>
              <w:rPr>
                <w:rFonts w:eastAsia="Times New Roman"/>
              </w:rPr>
            </w:pPr>
            <w:r>
              <w:rPr>
                <w:rFonts w:ascii="Arial" w:eastAsia="Times New Roman" w:hAnsi="Arial" w:cs="Arial"/>
                <w:sz w:val="16"/>
                <w:szCs w:val="16"/>
              </w:rPr>
              <w:t>933.441,75</w:t>
            </w:r>
          </w:p>
        </w:tc>
        <w:tc>
          <w:tcPr>
            <w:tcW w:w="0" w:type="auto"/>
            <w:tcBorders>
              <w:top w:val="outset" w:sz="6" w:space="0" w:color="auto"/>
              <w:left w:val="outset" w:sz="6" w:space="0" w:color="auto"/>
              <w:bottom w:val="outset" w:sz="6" w:space="0" w:color="auto"/>
              <w:right w:val="outset" w:sz="6" w:space="0" w:color="auto"/>
            </w:tcBorders>
            <w:vAlign w:val="center"/>
            <w:hideMark/>
          </w:tcPr>
          <w:p w14:paraId="326E2CFC" w14:textId="77777777" w:rsidR="00BA3275" w:rsidRDefault="00000000" w:rsidP="002F11A6">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7C08934" w14:textId="77777777" w:rsidR="00BA3275" w:rsidRDefault="00000000">
            <w:pPr>
              <w:jc w:val="right"/>
              <w:rPr>
                <w:rFonts w:eastAsia="Times New Roman"/>
              </w:rPr>
            </w:pPr>
            <w:r>
              <w:rPr>
                <w:rFonts w:ascii="Arial" w:eastAsia="Times New Roman" w:hAnsi="Arial" w:cs="Arial"/>
                <w:sz w:val="16"/>
                <w:szCs w:val="16"/>
              </w:rPr>
              <w:t>933.441,75</w:t>
            </w:r>
          </w:p>
        </w:tc>
      </w:tr>
      <w:tr w:rsidR="00BA3275" w14:paraId="6532316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1BEBA39" w14:textId="00DC5AAD" w:rsidR="00BA3275" w:rsidRDefault="00000000">
            <w:pPr>
              <w:rPr>
                <w:rFonts w:eastAsia="Times New Roman"/>
              </w:rPr>
            </w:pPr>
            <w:r>
              <w:rPr>
                <w:rFonts w:ascii="Arial" w:eastAsia="Times New Roman" w:hAnsi="Arial" w:cs="Arial"/>
                <w:sz w:val="16"/>
                <w:szCs w:val="16"/>
              </w:rPr>
              <w:t xml:space="preserve">Ativos não Financ Mantidos para Venda </w:t>
            </w:r>
            <w:r w:rsidR="002F11A6">
              <w:rPr>
                <w:rFonts w:ascii="Arial" w:eastAsia="Times New Roman" w:hAnsi="Arial" w:cs="Arial"/>
                <w:sz w:val="16"/>
                <w:szCs w:val="16"/>
              </w:rPr>
              <w:t>– Recebidos (9.2)</w:t>
            </w:r>
          </w:p>
        </w:tc>
        <w:tc>
          <w:tcPr>
            <w:tcW w:w="0" w:type="auto"/>
            <w:tcBorders>
              <w:top w:val="outset" w:sz="6" w:space="0" w:color="auto"/>
              <w:left w:val="outset" w:sz="6" w:space="0" w:color="auto"/>
              <w:bottom w:val="outset" w:sz="6" w:space="0" w:color="auto"/>
              <w:right w:val="outset" w:sz="6" w:space="0" w:color="auto"/>
            </w:tcBorders>
            <w:vAlign w:val="center"/>
            <w:hideMark/>
          </w:tcPr>
          <w:p w14:paraId="7CFAE6BC" w14:textId="77777777" w:rsidR="00BA3275" w:rsidRDefault="00000000" w:rsidP="002F11A6">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072A5D2" w14:textId="77777777" w:rsidR="00BA3275" w:rsidRDefault="00000000" w:rsidP="002F11A6">
            <w:pPr>
              <w:jc w:val="right"/>
              <w:rPr>
                <w:rFonts w:eastAsia="Times New Roman"/>
              </w:rPr>
            </w:pPr>
            <w:r>
              <w:rPr>
                <w:rFonts w:ascii="Arial" w:eastAsia="Times New Roman" w:hAnsi="Arial" w:cs="Arial"/>
                <w:sz w:val="16"/>
                <w:szCs w:val="16"/>
              </w:rPr>
              <w:t>78.964,77</w:t>
            </w:r>
          </w:p>
        </w:tc>
        <w:tc>
          <w:tcPr>
            <w:tcW w:w="0" w:type="auto"/>
            <w:tcBorders>
              <w:top w:val="outset" w:sz="6" w:space="0" w:color="auto"/>
              <w:left w:val="outset" w:sz="6" w:space="0" w:color="auto"/>
              <w:bottom w:val="outset" w:sz="6" w:space="0" w:color="auto"/>
              <w:right w:val="outset" w:sz="6" w:space="0" w:color="auto"/>
            </w:tcBorders>
            <w:vAlign w:val="center"/>
            <w:hideMark/>
          </w:tcPr>
          <w:p w14:paraId="095035F2" w14:textId="77777777" w:rsidR="00BA3275" w:rsidRDefault="00000000">
            <w:pPr>
              <w:jc w:val="right"/>
              <w:rPr>
                <w:rFonts w:eastAsia="Times New Roman"/>
              </w:rPr>
            </w:pPr>
            <w:r>
              <w:rPr>
                <w:rFonts w:ascii="Arial" w:eastAsia="Times New Roman" w:hAnsi="Arial" w:cs="Arial"/>
                <w:sz w:val="16"/>
                <w:szCs w:val="16"/>
              </w:rPr>
              <w:t>78.964,77</w:t>
            </w:r>
          </w:p>
        </w:tc>
      </w:tr>
      <w:tr w:rsidR="00BA3275" w14:paraId="59154B4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19ED207" w14:textId="400F774F" w:rsidR="00BA3275" w:rsidRDefault="00000000">
            <w:pPr>
              <w:rPr>
                <w:rFonts w:eastAsia="Times New Roman"/>
              </w:rPr>
            </w:pPr>
            <w:r>
              <w:rPr>
                <w:rFonts w:ascii="Arial" w:eastAsia="Times New Roman" w:hAnsi="Arial" w:cs="Arial"/>
                <w:sz w:val="16"/>
                <w:szCs w:val="16"/>
              </w:rPr>
              <w:t>Despesas Antecipadas</w:t>
            </w:r>
            <w:r w:rsidR="002F11A6">
              <w:rPr>
                <w:rFonts w:ascii="Arial" w:eastAsia="Times New Roman" w:hAnsi="Arial" w:cs="Arial"/>
                <w:sz w:val="16"/>
                <w:szCs w:val="16"/>
              </w:rPr>
              <w:t xml:space="preserve"> (9.3)</w:t>
            </w:r>
          </w:p>
        </w:tc>
        <w:tc>
          <w:tcPr>
            <w:tcW w:w="0" w:type="auto"/>
            <w:tcBorders>
              <w:top w:val="outset" w:sz="6" w:space="0" w:color="auto"/>
              <w:left w:val="outset" w:sz="6" w:space="0" w:color="auto"/>
              <w:bottom w:val="outset" w:sz="6" w:space="0" w:color="auto"/>
              <w:right w:val="outset" w:sz="6" w:space="0" w:color="auto"/>
            </w:tcBorders>
            <w:vAlign w:val="center"/>
            <w:hideMark/>
          </w:tcPr>
          <w:p w14:paraId="54EC2F8F" w14:textId="77777777" w:rsidR="00BA3275" w:rsidRDefault="00000000" w:rsidP="002F11A6">
            <w:pPr>
              <w:jc w:val="right"/>
              <w:rPr>
                <w:rFonts w:eastAsia="Times New Roman"/>
              </w:rPr>
            </w:pPr>
            <w:r>
              <w:rPr>
                <w:rFonts w:ascii="Arial" w:eastAsia="Times New Roman" w:hAnsi="Arial" w:cs="Arial"/>
                <w:sz w:val="16"/>
                <w:szCs w:val="16"/>
              </w:rPr>
              <w:t>488.896,46</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952B3" w14:textId="77777777" w:rsidR="00BA3275" w:rsidRDefault="00000000" w:rsidP="002F11A6">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165706" w14:textId="77777777" w:rsidR="00BA3275" w:rsidRDefault="00000000">
            <w:pPr>
              <w:jc w:val="right"/>
              <w:rPr>
                <w:rFonts w:eastAsia="Times New Roman"/>
              </w:rPr>
            </w:pPr>
            <w:r>
              <w:rPr>
                <w:rFonts w:ascii="Arial" w:eastAsia="Times New Roman" w:hAnsi="Arial" w:cs="Arial"/>
                <w:sz w:val="16"/>
                <w:szCs w:val="16"/>
              </w:rPr>
              <w:t>488.896,46</w:t>
            </w:r>
          </w:p>
        </w:tc>
      </w:tr>
      <w:tr w:rsidR="00BA3275" w14:paraId="437C024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0F5FBA6" w14:textId="77777777" w:rsidR="00BA3275"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7C3D7C3" w14:textId="77777777" w:rsidR="00BA3275" w:rsidRDefault="00000000" w:rsidP="002F11A6">
            <w:pPr>
              <w:jc w:val="right"/>
              <w:rPr>
                <w:rFonts w:eastAsia="Times New Roman"/>
              </w:rPr>
            </w:pPr>
            <w:r>
              <w:rPr>
                <w:rFonts w:ascii="Arial" w:eastAsia="Times New Roman" w:hAnsi="Arial" w:cs="Arial"/>
                <w:b/>
                <w:bCs/>
                <w:sz w:val="16"/>
                <w:szCs w:val="16"/>
              </w:rPr>
              <w:t>1.636.382,31</w:t>
            </w:r>
          </w:p>
        </w:tc>
        <w:tc>
          <w:tcPr>
            <w:tcW w:w="0" w:type="auto"/>
            <w:tcBorders>
              <w:top w:val="outset" w:sz="6" w:space="0" w:color="auto"/>
              <w:left w:val="outset" w:sz="6" w:space="0" w:color="auto"/>
              <w:bottom w:val="outset" w:sz="6" w:space="0" w:color="auto"/>
              <w:right w:val="outset" w:sz="6" w:space="0" w:color="auto"/>
            </w:tcBorders>
            <w:vAlign w:val="center"/>
            <w:hideMark/>
          </w:tcPr>
          <w:p w14:paraId="4F39201E" w14:textId="77777777" w:rsidR="00BA3275" w:rsidRDefault="00000000" w:rsidP="002F11A6">
            <w:pPr>
              <w:jc w:val="right"/>
              <w:rPr>
                <w:rFonts w:eastAsia="Times New Roman"/>
              </w:rPr>
            </w:pPr>
            <w:r>
              <w:rPr>
                <w:rFonts w:ascii="Arial" w:eastAsia="Times New Roman" w:hAnsi="Arial" w:cs="Arial"/>
                <w:b/>
                <w:bCs/>
                <w:sz w:val="16"/>
                <w:szCs w:val="16"/>
              </w:rPr>
              <w:t>78.964,77</w:t>
            </w:r>
          </w:p>
        </w:tc>
        <w:tc>
          <w:tcPr>
            <w:tcW w:w="0" w:type="auto"/>
            <w:tcBorders>
              <w:top w:val="outset" w:sz="6" w:space="0" w:color="auto"/>
              <w:left w:val="outset" w:sz="6" w:space="0" w:color="auto"/>
              <w:bottom w:val="outset" w:sz="6" w:space="0" w:color="auto"/>
              <w:right w:val="outset" w:sz="6" w:space="0" w:color="auto"/>
            </w:tcBorders>
            <w:vAlign w:val="center"/>
            <w:hideMark/>
          </w:tcPr>
          <w:p w14:paraId="5D91F54A" w14:textId="77777777" w:rsidR="00BA3275" w:rsidRDefault="00000000">
            <w:pPr>
              <w:jc w:val="right"/>
              <w:rPr>
                <w:rFonts w:eastAsia="Times New Roman"/>
              </w:rPr>
            </w:pPr>
            <w:r>
              <w:rPr>
                <w:rFonts w:ascii="Arial" w:eastAsia="Times New Roman" w:hAnsi="Arial" w:cs="Arial"/>
                <w:b/>
                <w:bCs/>
                <w:sz w:val="16"/>
                <w:szCs w:val="16"/>
              </w:rPr>
              <w:t>1.715.347,08</w:t>
            </w:r>
          </w:p>
        </w:tc>
      </w:tr>
    </w:tbl>
    <w:p w14:paraId="7C6B55F6" w14:textId="77777777" w:rsidR="00BA3275" w:rsidRDefault="00000000">
      <w:pPr>
        <w:pStyle w:val="NormalWeb"/>
      </w:pPr>
      <w:r>
        <w:rPr>
          <w:rFonts w:ascii="Arial" w:hAnsi="Arial" w:cs="Arial"/>
          <w:b/>
          <w:bCs/>
          <w:sz w:val="20"/>
          <w:szCs w:val="20"/>
        </w:rPr>
        <w:t xml:space="preserve">9.1 Devedores Diversos </w:t>
      </w:r>
    </w:p>
    <w:p w14:paraId="3CCDB906" w14:textId="77777777" w:rsidR="00BA3275" w:rsidRDefault="00000000">
      <w:pPr>
        <w:pStyle w:val="NormalWeb"/>
        <w:jc w:val="both"/>
      </w:pPr>
      <w:r>
        <w:rPr>
          <w:rFonts w:ascii="Arial" w:hAnsi="Arial" w:cs="Arial"/>
          <w:sz w:val="20"/>
          <w:szCs w:val="20"/>
        </w:rPr>
        <w:t>Em Devedores Diversos estão registrados:</w:t>
      </w:r>
    </w:p>
    <w:tbl>
      <w:tblPr>
        <w:tblW w:w="5000" w:type="pct"/>
        <w:tblCellMar>
          <w:left w:w="0" w:type="dxa"/>
          <w:right w:w="0" w:type="dxa"/>
        </w:tblCellMar>
        <w:tblLook w:val="04A0" w:firstRow="1" w:lastRow="0" w:firstColumn="1" w:lastColumn="0" w:noHBand="0" w:noVBand="1"/>
      </w:tblPr>
      <w:tblGrid>
        <w:gridCol w:w="4977"/>
        <w:gridCol w:w="1365"/>
        <w:gridCol w:w="1915"/>
        <w:gridCol w:w="1365"/>
      </w:tblGrid>
      <w:tr w:rsidR="00BA3275" w14:paraId="27A13F57"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B40025B" w14:textId="77777777" w:rsidR="00BA3275" w:rsidRDefault="00000000">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1A73B78"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617B57E3"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07B0CA" w14:textId="77777777" w:rsidR="00BA3275" w:rsidRDefault="00BA327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2161A75" w14:textId="77777777" w:rsidR="00BA3275"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501FC0E" w14:textId="77777777" w:rsidR="00BA3275"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82F812C" w14:textId="77777777" w:rsidR="00BA3275" w:rsidRDefault="00000000">
            <w:pPr>
              <w:jc w:val="center"/>
              <w:rPr>
                <w:rFonts w:eastAsia="Times New Roman"/>
              </w:rPr>
            </w:pPr>
            <w:r>
              <w:rPr>
                <w:rFonts w:ascii="Arial" w:eastAsia="Times New Roman" w:hAnsi="Arial" w:cs="Arial"/>
                <w:b/>
                <w:bCs/>
                <w:sz w:val="16"/>
                <w:szCs w:val="16"/>
              </w:rPr>
              <w:t>Total</w:t>
            </w:r>
          </w:p>
        </w:tc>
      </w:tr>
      <w:tr w:rsidR="00BA3275" w14:paraId="092961F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3E796AD" w14:textId="77777777" w:rsidR="00BA3275" w:rsidRDefault="00000000">
            <w:pPr>
              <w:rPr>
                <w:rFonts w:eastAsia="Times New Roman"/>
              </w:rPr>
            </w:pPr>
            <w:r>
              <w:rPr>
                <w:rFonts w:ascii="Arial" w:eastAsia="Times New Roman" w:hAnsi="Arial" w:cs="Arial"/>
                <w:sz w:val="16"/>
                <w:szCs w:val="16"/>
              </w:rPr>
              <w:t>Pendências a Regularizar</w:t>
            </w:r>
          </w:p>
        </w:tc>
        <w:tc>
          <w:tcPr>
            <w:tcW w:w="0" w:type="auto"/>
            <w:tcBorders>
              <w:top w:val="outset" w:sz="6" w:space="0" w:color="auto"/>
              <w:left w:val="outset" w:sz="6" w:space="0" w:color="auto"/>
              <w:bottom w:val="outset" w:sz="6" w:space="0" w:color="auto"/>
              <w:right w:val="outset" w:sz="6" w:space="0" w:color="auto"/>
            </w:tcBorders>
            <w:vAlign w:val="center"/>
            <w:hideMark/>
          </w:tcPr>
          <w:p w14:paraId="768C444F" w14:textId="77777777" w:rsidR="00BA3275" w:rsidRDefault="00000000" w:rsidP="002F11A6">
            <w:pPr>
              <w:jc w:val="right"/>
              <w:rPr>
                <w:rFonts w:eastAsia="Times New Roman"/>
              </w:rPr>
            </w:pPr>
            <w:r>
              <w:rPr>
                <w:rFonts w:ascii="Arial" w:eastAsia="Times New Roman" w:hAnsi="Arial" w:cs="Arial"/>
                <w:sz w:val="16"/>
                <w:szCs w:val="16"/>
              </w:rPr>
              <w:t>361.983,87</w:t>
            </w:r>
          </w:p>
        </w:tc>
        <w:tc>
          <w:tcPr>
            <w:tcW w:w="0" w:type="auto"/>
            <w:tcBorders>
              <w:top w:val="outset" w:sz="6" w:space="0" w:color="auto"/>
              <w:left w:val="outset" w:sz="6" w:space="0" w:color="auto"/>
              <w:bottom w:val="outset" w:sz="6" w:space="0" w:color="auto"/>
              <w:right w:val="outset" w:sz="6" w:space="0" w:color="auto"/>
            </w:tcBorders>
            <w:vAlign w:val="center"/>
            <w:hideMark/>
          </w:tcPr>
          <w:p w14:paraId="7E258641" w14:textId="77777777" w:rsidR="00BA3275" w:rsidRDefault="00000000" w:rsidP="002F11A6">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9C59B0" w14:textId="77777777" w:rsidR="00BA3275" w:rsidRDefault="00000000">
            <w:pPr>
              <w:jc w:val="right"/>
              <w:rPr>
                <w:rFonts w:eastAsia="Times New Roman"/>
              </w:rPr>
            </w:pPr>
            <w:r>
              <w:rPr>
                <w:rFonts w:ascii="Arial" w:eastAsia="Times New Roman" w:hAnsi="Arial" w:cs="Arial"/>
                <w:sz w:val="16"/>
                <w:szCs w:val="16"/>
              </w:rPr>
              <w:t>361.983,87</w:t>
            </w:r>
          </w:p>
        </w:tc>
      </w:tr>
      <w:tr w:rsidR="00BA3275" w14:paraId="0B53145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3A0474E" w14:textId="77777777" w:rsidR="00BA3275" w:rsidRDefault="00000000">
            <w:pPr>
              <w:rPr>
                <w:rFonts w:eastAsia="Times New Roman"/>
              </w:rPr>
            </w:pPr>
            <w:r>
              <w:rPr>
                <w:rFonts w:ascii="Arial" w:eastAsia="Times New Roman" w:hAnsi="Arial" w:cs="Arial"/>
                <w:sz w:val="16"/>
                <w:szCs w:val="16"/>
              </w:rPr>
              <w:t>Seguros Contratados a Receber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6DC4302" w14:textId="77777777" w:rsidR="00BA3275" w:rsidRDefault="00000000" w:rsidP="002F11A6">
            <w:pPr>
              <w:jc w:val="right"/>
              <w:rPr>
                <w:rFonts w:eastAsia="Times New Roman"/>
              </w:rPr>
            </w:pPr>
            <w:r>
              <w:rPr>
                <w:rFonts w:ascii="Arial" w:eastAsia="Times New Roman" w:hAnsi="Arial" w:cs="Arial"/>
                <w:sz w:val="16"/>
                <w:szCs w:val="16"/>
              </w:rPr>
              <w:t>183,50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036061" w14:textId="77777777" w:rsidR="00BA3275" w:rsidRDefault="00000000" w:rsidP="002F11A6">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9557B8" w14:textId="77777777" w:rsidR="00BA3275" w:rsidRDefault="00000000">
            <w:pPr>
              <w:jc w:val="right"/>
              <w:rPr>
                <w:rFonts w:eastAsia="Times New Roman"/>
              </w:rPr>
            </w:pPr>
            <w:r>
              <w:rPr>
                <w:rFonts w:ascii="Arial" w:eastAsia="Times New Roman" w:hAnsi="Arial" w:cs="Arial"/>
                <w:sz w:val="16"/>
                <w:szCs w:val="16"/>
              </w:rPr>
              <w:t>183,50</w:t>
            </w:r>
          </w:p>
        </w:tc>
      </w:tr>
      <w:tr w:rsidR="00BA3275" w14:paraId="4655A11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D406065" w14:textId="77777777" w:rsidR="00BA3275" w:rsidRDefault="00000000">
            <w:pPr>
              <w:rPr>
                <w:rFonts w:eastAsia="Times New Roman"/>
              </w:rPr>
            </w:pPr>
            <w:r>
              <w:rPr>
                <w:rFonts w:ascii="Arial" w:eastAsia="Times New Roman" w:hAnsi="Arial" w:cs="Arial"/>
                <w:sz w:val="16"/>
                <w:szCs w:val="16"/>
              </w:rPr>
              <w:t>Pendências a Regularizar -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79BEAFCC" w14:textId="77777777" w:rsidR="00BA3275" w:rsidRDefault="00000000" w:rsidP="002F11A6">
            <w:pPr>
              <w:jc w:val="right"/>
              <w:rPr>
                <w:rFonts w:eastAsia="Times New Roman"/>
              </w:rPr>
            </w:pPr>
            <w:r>
              <w:rPr>
                <w:rFonts w:ascii="Arial" w:eastAsia="Times New Roman" w:hAnsi="Arial" w:cs="Arial"/>
                <w:sz w:val="16"/>
                <w:szCs w:val="16"/>
              </w:rPr>
              <w:t>10.810,72</w:t>
            </w:r>
          </w:p>
        </w:tc>
        <w:tc>
          <w:tcPr>
            <w:tcW w:w="0" w:type="auto"/>
            <w:tcBorders>
              <w:top w:val="outset" w:sz="6" w:space="0" w:color="auto"/>
              <w:left w:val="outset" w:sz="6" w:space="0" w:color="auto"/>
              <w:bottom w:val="outset" w:sz="6" w:space="0" w:color="auto"/>
              <w:right w:val="outset" w:sz="6" w:space="0" w:color="auto"/>
            </w:tcBorders>
            <w:vAlign w:val="center"/>
            <w:hideMark/>
          </w:tcPr>
          <w:p w14:paraId="236B0C4A" w14:textId="77777777" w:rsidR="00BA3275" w:rsidRDefault="00000000" w:rsidP="002F11A6">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CC32B01" w14:textId="77777777" w:rsidR="00BA3275" w:rsidRDefault="00000000">
            <w:pPr>
              <w:jc w:val="right"/>
              <w:rPr>
                <w:rFonts w:eastAsia="Times New Roman"/>
              </w:rPr>
            </w:pPr>
            <w:r>
              <w:rPr>
                <w:rFonts w:ascii="Arial" w:eastAsia="Times New Roman" w:hAnsi="Arial" w:cs="Arial"/>
                <w:sz w:val="16"/>
                <w:szCs w:val="16"/>
              </w:rPr>
              <w:t>10.810,72</w:t>
            </w:r>
          </w:p>
        </w:tc>
      </w:tr>
      <w:tr w:rsidR="00BA3275" w14:paraId="56DF10C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E113C54" w14:textId="77777777" w:rsidR="00BA3275" w:rsidRDefault="00000000">
            <w:pPr>
              <w:rPr>
                <w:rFonts w:eastAsia="Times New Roman"/>
              </w:rPr>
            </w:pPr>
            <w:r>
              <w:rPr>
                <w:rFonts w:ascii="Arial" w:eastAsia="Times New Roman" w:hAnsi="Arial" w:cs="Arial"/>
                <w:sz w:val="16"/>
                <w:szCs w:val="16"/>
              </w:rPr>
              <w:t>Diferença de Caixa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564447F8" w14:textId="77777777" w:rsidR="00BA3275" w:rsidRDefault="00000000" w:rsidP="002F11A6">
            <w:pPr>
              <w:jc w:val="right"/>
              <w:rPr>
                <w:rFonts w:eastAsia="Times New Roman"/>
              </w:rPr>
            </w:pPr>
            <w:r>
              <w:rPr>
                <w:rFonts w:ascii="Arial" w:eastAsia="Times New Roman" w:hAnsi="Arial" w:cs="Arial"/>
                <w:sz w:val="16"/>
                <w:szCs w:val="16"/>
              </w:rPr>
              <w:t>2.140,00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489CCB0" w14:textId="77777777" w:rsidR="00BA3275" w:rsidRDefault="00000000" w:rsidP="002F11A6">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57E3C61" w14:textId="77777777" w:rsidR="00BA3275" w:rsidRDefault="00000000">
            <w:pPr>
              <w:jc w:val="right"/>
              <w:rPr>
                <w:rFonts w:eastAsia="Times New Roman"/>
              </w:rPr>
            </w:pPr>
            <w:r>
              <w:rPr>
                <w:rFonts w:ascii="Arial" w:eastAsia="Times New Roman" w:hAnsi="Arial" w:cs="Arial"/>
                <w:sz w:val="16"/>
                <w:szCs w:val="16"/>
              </w:rPr>
              <w:t>2.140,00</w:t>
            </w:r>
          </w:p>
        </w:tc>
      </w:tr>
      <w:tr w:rsidR="00BA3275" w14:paraId="02C3A46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694982F" w14:textId="77777777" w:rsidR="00BA3275" w:rsidRDefault="00000000">
            <w:pPr>
              <w:rPr>
                <w:rFonts w:eastAsia="Times New Roman"/>
              </w:rPr>
            </w:pPr>
            <w:r>
              <w:rPr>
                <w:rFonts w:ascii="Arial" w:eastAsia="Times New Roman" w:hAnsi="Arial" w:cs="Arial"/>
                <w:sz w:val="16"/>
                <w:szCs w:val="16"/>
              </w:rPr>
              <w:t>Estoque de Pontos Adquiridos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D9F2BC0" w14:textId="77777777" w:rsidR="00BA3275" w:rsidRDefault="00000000" w:rsidP="002F11A6">
            <w:pPr>
              <w:jc w:val="right"/>
              <w:rPr>
                <w:rFonts w:eastAsia="Times New Roman"/>
              </w:rPr>
            </w:pPr>
            <w:r>
              <w:rPr>
                <w:rFonts w:ascii="Arial" w:eastAsia="Times New Roman" w:hAnsi="Arial" w:cs="Arial"/>
                <w:sz w:val="16"/>
                <w:szCs w:val="16"/>
              </w:rPr>
              <w:t>1.876,50</w:t>
            </w:r>
          </w:p>
        </w:tc>
        <w:tc>
          <w:tcPr>
            <w:tcW w:w="0" w:type="auto"/>
            <w:tcBorders>
              <w:top w:val="outset" w:sz="6" w:space="0" w:color="auto"/>
              <w:left w:val="outset" w:sz="6" w:space="0" w:color="auto"/>
              <w:bottom w:val="outset" w:sz="6" w:space="0" w:color="auto"/>
              <w:right w:val="outset" w:sz="6" w:space="0" w:color="auto"/>
            </w:tcBorders>
            <w:vAlign w:val="center"/>
            <w:hideMark/>
          </w:tcPr>
          <w:p w14:paraId="6E5E3512" w14:textId="77777777" w:rsidR="00BA3275" w:rsidRDefault="00000000" w:rsidP="002F11A6">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F26E8F4" w14:textId="77777777" w:rsidR="00BA3275" w:rsidRDefault="00000000">
            <w:pPr>
              <w:jc w:val="right"/>
              <w:rPr>
                <w:rFonts w:eastAsia="Times New Roman"/>
              </w:rPr>
            </w:pPr>
            <w:r>
              <w:rPr>
                <w:rFonts w:ascii="Arial" w:eastAsia="Times New Roman" w:hAnsi="Arial" w:cs="Arial"/>
                <w:sz w:val="16"/>
                <w:szCs w:val="16"/>
              </w:rPr>
              <w:t>1.876,50</w:t>
            </w:r>
          </w:p>
        </w:tc>
      </w:tr>
      <w:tr w:rsidR="00BA3275" w14:paraId="418C5EE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68682AC" w14:textId="77777777" w:rsidR="00BA3275" w:rsidRDefault="00000000">
            <w:pPr>
              <w:rPr>
                <w:rFonts w:eastAsia="Times New Roman"/>
              </w:rPr>
            </w:pPr>
            <w:r>
              <w:rPr>
                <w:rFonts w:ascii="Arial" w:eastAsia="Times New Roman" w:hAnsi="Arial" w:cs="Arial"/>
                <w:sz w:val="16"/>
                <w:szCs w:val="16"/>
              </w:rPr>
              <w:t>Estoque de Pontos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4FBB02" w14:textId="77777777" w:rsidR="00BA3275" w:rsidRDefault="00000000" w:rsidP="002F11A6">
            <w:pPr>
              <w:jc w:val="right"/>
              <w:rPr>
                <w:rFonts w:eastAsia="Times New Roman"/>
              </w:rPr>
            </w:pPr>
            <w:r>
              <w:rPr>
                <w:rFonts w:ascii="Arial" w:eastAsia="Times New Roman" w:hAnsi="Arial" w:cs="Arial"/>
                <w:sz w:val="16"/>
                <w:szCs w:val="16"/>
              </w:rPr>
              <w:t>28.136,96</w:t>
            </w:r>
          </w:p>
        </w:tc>
        <w:tc>
          <w:tcPr>
            <w:tcW w:w="0" w:type="auto"/>
            <w:tcBorders>
              <w:top w:val="outset" w:sz="6" w:space="0" w:color="auto"/>
              <w:left w:val="outset" w:sz="6" w:space="0" w:color="auto"/>
              <w:bottom w:val="outset" w:sz="6" w:space="0" w:color="auto"/>
              <w:right w:val="outset" w:sz="6" w:space="0" w:color="auto"/>
            </w:tcBorders>
            <w:vAlign w:val="center"/>
            <w:hideMark/>
          </w:tcPr>
          <w:p w14:paraId="3AC600E3" w14:textId="77777777" w:rsidR="00BA3275" w:rsidRDefault="00000000" w:rsidP="002F11A6">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91CD10A" w14:textId="77777777" w:rsidR="00BA3275" w:rsidRDefault="00000000">
            <w:pPr>
              <w:jc w:val="right"/>
              <w:rPr>
                <w:rFonts w:eastAsia="Times New Roman"/>
              </w:rPr>
            </w:pPr>
            <w:r>
              <w:rPr>
                <w:rFonts w:ascii="Arial" w:eastAsia="Times New Roman" w:hAnsi="Arial" w:cs="Arial"/>
                <w:sz w:val="16"/>
                <w:szCs w:val="16"/>
              </w:rPr>
              <w:t>28.136,96</w:t>
            </w:r>
          </w:p>
        </w:tc>
      </w:tr>
      <w:tr w:rsidR="00BA3275" w14:paraId="6171428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1217778" w14:textId="77777777" w:rsidR="00BA3275" w:rsidRDefault="00000000">
            <w:pPr>
              <w:rPr>
                <w:rFonts w:eastAsia="Times New Roman"/>
              </w:rPr>
            </w:pPr>
            <w:r>
              <w:rPr>
                <w:rFonts w:ascii="Arial" w:eastAsia="Times New Roman" w:hAnsi="Arial" w:cs="Arial"/>
                <w:sz w:val="16"/>
                <w:szCs w:val="16"/>
              </w:rPr>
              <w:t>Pendências Avais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10F3C" w14:textId="77777777" w:rsidR="00BA3275" w:rsidRDefault="00000000" w:rsidP="002F11A6">
            <w:pPr>
              <w:jc w:val="right"/>
              <w:rPr>
                <w:rFonts w:eastAsia="Times New Roman"/>
              </w:rPr>
            </w:pPr>
            <w:r>
              <w:rPr>
                <w:rFonts w:ascii="Arial" w:eastAsia="Times New Roman" w:hAnsi="Arial" w:cs="Arial"/>
                <w:sz w:val="16"/>
                <w:szCs w:val="16"/>
              </w:rPr>
              <w:t>9.217,19</w:t>
            </w:r>
          </w:p>
        </w:tc>
        <w:tc>
          <w:tcPr>
            <w:tcW w:w="0" w:type="auto"/>
            <w:tcBorders>
              <w:top w:val="outset" w:sz="6" w:space="0" w:color="auto"/>
              <w:left w:val="outset" w:sz="6" w:space="0" w:color="auto"/>
              <w:bottom w:val="outset" w:sz="6" w:space="0" w:color="auto"/>
              <w:right w:val="outset" w:sz="6" w:space="0" w:color="auto"/>
            </w:tcBorders>
            <w:vAlign w:val="center"/>
            <w:hideMark/>
          </w:tcPr>
          <w:p w14:paraId="29E24611" w14:textId="77777777" w:rsidR="00BA3275" w:rsidRDefault="00000000" w:rsidP="002F11A6">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A6C8C6" w14:textId="77777777" w:rsidR="00BA3275" w:rsidRDefault="00000000">
            <w:pPr>
              <w:jc w:val="right"/>
              <w:rPr>
                <w:rFonts w:eastAsia="Times New Roman"/>
              </w:rPr>
            </w:pPr>
            <w:r>
              <w:rPr>
                <w:rFonts w:ascii="Arial" w:eastAsia="Times New Roman" w:hAnsi="Arial" w:cs="Arial"/>
                <w:sz w:val="16"/>
                <w:szCs w:val="16"/>
              </w:rPr>
              <w:t>9.217,19</w:t>
            </w:r>
          </w:p>
        </w:tc>
      </w:tr>
      <w:tr w:rsidR="00BA3275" w14:paraId="284C657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111EC6A" w14:textId="77777777" w:rsidR="00BA3275" w:rsidRDefault="00000000">
            <w:pPr>
              <w:rPr>
                <w:rFonts w:eastAsia="Times New Roman"/>
              </w:rPr>
            </w:pPr>
            <w:r>
              <w:rPr>
                <w:rFonts w:ascii="Arial" w:eastAsia="Times New Roman" w:hAnsi="Arial" w:cs="Arial"/>
                <w:sz w:val="16"/>
                <w:szCs w:val="16"/>
              </w:rPr>
              <w:t>Outros Devedores Diversos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7A78144" w14:textId="77777777" w:rsidR="00BA3275" w:rsidRDefault="00000000" w:rsidP="002F11A6">
            <w:pPr>
              <w:jc w:val="right"/>
              <w:rPr>
                <w:rFonts w:eastAsia="Times New Roman"/>
              </w:rPr>
            </w:pPr>
            <w:r>
              <w:rPr>
                <w:rFonts w:ascii="Arial" w:eastAsia="Times New Roman" w:hAnsi="Arial" w:cs="Arial"/>
                <w:sz w:val="16"/>
                <w:szCs w:val="16"/>
              </w:rPr>
              <w:t>519.093,01</w:t>
            </w:r>
          </w:p>
        </w:tc>
        <w:tc>
          <w:tcPr>
            <w:tcW w:w="0" w:type="auto"/>
            <w:tcBorders>
              <w:top w:val="outset" w:sz="6" w:space="0" w:color="auto"/>
              <w:left w:val="outset" w:sz="6" w:space="0" w:color="auto"/>
              <w:bottom w:val="outset" w:sz="6" w:space="0" w:color="auto"/>
              <w:right w:val="outset" w:sz="6" w:space="0" w:color="auto"/>
            </w:tcBorders>
            <w:vAlign w:val="center"/>
            <w:hideMark/>
          </w:tcPr>
          <w:p w14:paraId="3016D09E" w14:textId="77777777" w:rsidR="00BA3275" w:rsidRDefault="00000000" w:rsidP="002F11A6">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64DF8BD" w14:textId="77777777" w:rsidR="00BA3275" w:rsidRDefault="00000000">
            <w:pPr>
              <w:jc w:val="right"/>
              <w:rPr>
                <w:rFonts w:eastAsia="Times New Roman"/>
              </w:rPr>
            </w:pPr>
            <w:r>
              <w:rPr>
                <w:rFonts w:ascii="Arial" w:eastAsia="Times New Roman" w:hAnsi="Arial" w:cs="Arial"/>
                <w:sz w:val="16"/>
                <w:szCs w:val="16"/>
              </w:rPr>
              <w:t>519.093,01</w:t>
            </w:r>
          </w:p>
        </w:tc>
      </w:tr>
      <w:tr w:rsidR="00BA3275" w14:paraId="33AC159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5DD7B59" w14:textId="77777777" w:rsidR="00BA3275"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CD1B522" w14:textId="77777777" w:rsidR="00BA3275" w:rsidRDefault="00000000" w:rsidP="002F11A6">
            <w:pPr>
              <w:jc w:val="right"/>
              <w:rPr>
                <w:rFonts w:eastAsia="Times New Roman"/>
              </w:rPr>
            </w:pPr>
            <w:r>
              <w:rPr>
                <w:rFonts w:ascii="Arial" w:eastAsia="Times New Roman" w:hAnsi="Arial" w:cs="Arial"/>
                <w:b/>
                <w:bCs/>
                <w:sz w:val="16"/>
                <w:szCs w:val="16"/>
              </w:rPr>
              <w:t>933.441,75</w:t>
            </w:r>
          </w:p>
        </w:tc>
        <w:tc>
          <w:tcPr>
            <w:tcW w:w="0" w:type="auto"/>
            <w:tcBorders>
              <w:top w:val="outset" w:sz="6" w:space="0" w:color="auto"/>
              <w:left w:val="outset" w:sz="6" w:space="0" w:color="auto"/>
              <w:bottom w:val="outset" w:sz="6" w:space="0" w:color="auto"/>
              <w:right w:val="outset" w:sz="6" w:space="0" w:color="auto"/>
            </w:tcBorders>
            <w:vAlign w:val="center"/>
            <w:hideMark/>
          </w:tcPr>
          <w:p w14:paraId="441ED535" w14:textId="77777777" w:rsidR="00BA3275" w:rsidRDefault="00000000" w:rsidP="002F11A6">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DE635D5" w14:textId="77777777" w:rsidR="00BA3275" w:rsidRDefault="00000000">
            <w:pPr>
              <w:jc w:val="right"/>
              <w:rPr>
                <w:rFonts w:eastAsia="Times New Roman"/>
              </w:rPr>
            </w:pPr>
            <w:r>
              <w:rPr>
                <w:rFonts w:ascii="Arial" w:eastAsia="Times New Roman" w:hAnsi="Arial" w:cs="Arial"/>
                <w:b/>
                <w:bCs/>
                <w:sz w:val="16"/>
                <w:szCs w:val="16"/>
              </w:rPr>
              <w:t>933.441,75</w:t>
            </w:r>
          </w:p>
        </w:tc>
      </w:tr>
    </w:tbl>
    <w:p w14:paraId="72A7926D" w14:textId="77777777" w:rsidR="00BA3275" w:rsidRDefault="00000000">
      <w:pPr>
        <w:pStyle w:val="NormalWeb"/>
      </w:pPr>
      <w:r>
        <w:rPr>
          <w:rFonts w:ascii="Arial" w:hAnsi="Arial" w:cs="Arial"/>
          <w:b/>
          <w:bCs/>
          <w:sz w:val="20"/>
          <w:szCs w:val="20"/>
        </w:rPr>
        <w:t>9.2 Ativos Não Financeiros Mantidos para Venda</w:t>
      </w:r>
    </w:p>
    <w:p w14:paraId="21A9546A" w14:textId="77777777" w:rsidR="00BA3275" w:rsidRDefault="00000000">
      <w:pPr>
        <w:pStyle w:val="NormalWeb"/>
        <w:jc w:val="both"/>
      </w:pPr>
      <w:r>
        <w:rPr>
          <w:rFonts w:ascii="Arial" w:hAnsi="Arial" w:cs="Arial"/>
          <w:sz w:val="20"/>
          <w:szCs w:val="20"/>
        </w:rPr>
        <w:t>Em Ativos Não Financeiros Mantidos para Venda - Recebidos estão registrados os valores de bens recebidos para pagamento de operações com associados, não estando sujeitos a depreciação ou correção.</w:t>
      </w:r>
    </w:p>
    <w:p w14:paraId="50B21E52" w14:textId="77777777" w:rsidR="00BA3275" w:rsidRDefault="00000000">
      <w:pPr>
        <w:pStyle w:val="NormalWeb"/>
      </w:pPr>
      <w:r>
        <w:rPr>
          <w:rFonts w:ascii="Arial" w:hAnsi="Arial" w:cs="Arial"/>
          <w:b/>
          <w:bCs/>
          <w:sz w:val="20"/>
          <w:szCs w:val="20"/>
        </w:rPr>
        <w:t>9.3 Despesa Antecipadas</w:t>
      </w:r>
    </w:p>
    <w:p w14:paraId="5C420DD3" w14:textId="77777777" w:rsidR="00BA3275" w:rsidRDefault="00000000">
      <w:pPr>
        <w:pStyle w:val="NormalWeb"/>
      </w:pPr>
      <w:r>
        <w:rPr>
          <w:rFonts w:ascii="Arial" w:hAnsi="Arial" w:cs="Arial"/>
          <w:sz w:val="20"/>
          <w:szCs w:val="20"/>
        </w:rPr>
        <w:t>Em Despesa Antecipadas estão registrados:</w:t>
      </w:r>
    </w:p>
    <w:tbl>
      <w:tblPr>
        <w:tblW w:w="5000" w:type="pct"/>
        <w:tblCellMar>
          <w:left w:w="0" w:type="dxa"/>
          <w:right w:w="0" w:type="dxa"/>
        </w:tblCellMar>
        <w:tblLook w:val="04A0" w:firstRow="1" w:lastRow="0" w:firstColumn="1" w:lastColumn="0" w:noHBand="0" w:noVBand="1"/>
      </w:tblPr>
      <w:tblGrid>
        <w:gridCol w:w="5021"/>
        <w:gridCol w:w="1352"/>
        <w:gridCol w:w="1897"/>
        <w:gridCol w:w="1352"/>
      </w:tblGrid>
      <w:tr w:rsidR="00BA3275" w14:paraId="6F61BF2C"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192FEA" w14:textId="77777777" w:rsidR="00BA3275" w:rsidRDefault="00000000">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A502328"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2A5159D6"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EFEEC0" w14:textId="77777777" w:rsidR="00BA3275" w:rsidRDefault="00BA327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6A707A6" w14:textId="77777777" w:rsidR="00BA3275"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0DD6B96" w14:textId="77777777" w:rsidR="00BA3275"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9750BC5" w14:textId="77777777" w:rsidR="00BA3275" w:rsidRDefault="00000000">
            <w:pPr>
              <w:jc w:val="center"/>
              <w:rPr>
                <w:rFonts w:eastAsia="Times New Roman"/>
              </w:rPr>
            </w:pPr>
            <w:r>
              <w:rPr>
                <w:rFonts w:ascii="Arial" w:eastAsia="Times New Roman" w:hAnsi="Arial" w:cs="Arial"/>
                <w:b/>
                <w:bCs/>
                <w:sz w:val="16"/>
                <w:szCs w:val="16"/>
              </w:rPr>
              <w:t>Total</w:t>
            </w:r>
          </w:p>
        </w:tc>
      </w:tr>
      <w:tr w:rsidR="00BA3275" w14:paraId="1477817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DF040CF" w14:textId="77777777" w:rsidR="00BA3275" w:rsidRDefault="00000000">
            <w:pPr>
              <w:rPr>
                <w:rFonts w:eastAsia="Times New Roman"/>
              </w:rPr>
            </w:pPr>
            <w:r>
              <w:rPr>
                <w:rFonts w:ascii="Arial" w:eastAsia="Times New Roman" w:hAnsi="Arial" w:cs="Arial"/>
                <w:sz w:val="16"/>
                <w:szCs w:val="16"/>
              </w:rPr>
              <w:t>Prêmios de Seguros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30569" w14:textId="77777777" w:rsidR="00BA3275" w:rsidRDefault="00000000" w:rsidP="002F11A6">
            <w:pPr>
              <w:jc w:val="right"/>
              <w:rPr>
                <w:rFonts w:eastAsia="Times New Roman"/>
              </w:rPr>
            </w:pPr>
            <w:r>
              <w:rPr>
                <w:rFonts w:ascii="Arial" w:eastAsia="Times New Roman" w:hAnsi="Arial" w:cs="Arial"/>
                <w:sz w:val="16"/>
                <w:szCs w:val="16"/>
              </w:rPr>
              <w:t>9.470,83</w:t>
            </w:r>
          </w:p>
        </w:tc>
        <w:tc>
          <w:tcPr>
            <w:tcW w:w="0" w:type="auto"/>
            <w:tcBorders>
              <w:top w:val="outset" w:sz="6" w:space="0" w:color="auto"/>
              <w:left w:val="outset" w:sz="6" w:space="0" w:color="auto"/>
              <w:bottom w:val="outset" w:sz="6" w:space="0" w:color="auto"/>
              <w:right w:val="outset" w:sz="6" w:space="0" w:color="auto"/>
            </w:tcBorders>
            <w:vAlign w:val="center"/>
            <w:hideMark/>
          </w:tcPr>
          <w:p w14:paraId="0A23808A" w14:textId="77777777" w:rsidR="00BA3275" w:rsidRDefault="00000000" w:rsidP="002F11A6">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F06D71F" w14:textId="77777777" w:rsidR="00BA3275" w:rsidRDefault="00000000">
            <w:pPr>
              <w:jc w:val="right"/>
              <w:rPr>
                <w:rFonts w:eastAsia="Times New Roman"/>
              </w:rPr>
            </w:pPr>
            <w:r>
              <w:rPr>
                <w:rFonts w:ascii="Arial" w:eastAsia="Times New Roman" w:hAnsi="Arial" w:cs="Arial"/>
                <w:sz w:val="16"/>
                <w:szCs w:val="16"/>
              </w:rPr>
              <w:t>9.470,83</w:t>
            </w:r>
          </w:p>
        </w:tc>
      </w:tr>
      <w:tr w:rsidR="00BA3275" w14:paraId="71839AB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7ADF3AA" w14:textId="77777777" w:rsidR="00BA3275" w:rsidRDefault="00000000">
            <w:pPr>
              <w:rPr>
                <w:rFonts w:eastAsia="Times New Roman"/>
              </w:rPr>
            </w:pPr>
            <w:r>
              <w:rPr>
                <w:rFonts w:ascii="Arial" w:eastAsia="Times New Roman" w:hAnsi="Arial" w:cs="Arial"/>
                <w:sz w:val="16"/>
                <w:szCs w:val="16"/>
              </w:rPr>
              <w:t>IPTU</w:t>
            </w:r>
          </w:p>
        </w:tc>
        <w:tc>
          <w:tcPr>
            <w:tcW w:w="0" w:type="auto"/>
            <w:tcBorders>
              <w:top w:val="outset" w:sz="6" w:space="0" w:color="auto"/>
              <w:left w:val="outset" w:sz="6" w:space="0" w:color="auto"/>
              <w:bottom w:val="outset" w:sz="6" w:space="0" w:color="auto"/>
              <w:right w:val="outset" w:sz="6" w:space="0" w:color="auto"/>
            </w:tcBorders>
            <w:vAlign w:val="center"/>
            <w:hideMark/>
          </w:tcPr>
          <w:p w14:paraId="7769A742" w14:textId="77777777" w:rsidR="00BA3275" w:rsidRDefault="00000000" w:rsidP="002F11A6">
            <w:pPr>
              <w:jc w:val="right"/>
              <w:rPr>
                <w:rFonts w:eastAsia="Times New Roman"/>
              </w:rPr>
            </w:pPr>
            <w:r>
              <w:rPr>
                <w:rFonts w:ascii="Arial" w:eastAsia="Times New Roman" w:hAnsi="Arial" w:cs="Arial"/>
                <w:sz w:val="16"/>
                <w:szCs w:val="16"/>
              </w:rPr>
              <w:t>8.131,58</w:t>
            </w:r>
          </w:p>
        </w:tc>
        <w:tc>
          <w:tcPr>
            <w:tcW w:w="0" w:type="auto"/>
            <w:tcBorders>
              <w:top w:val="outset" w:sz="6" w:space="0" w:color="auto"/>
              <w:left w:val="outset" w:sz="6" w:space="0" w:color="auto"/>
              <w:bottom w:val="outset" w:sz="6" w:space="0" w:color="auto"/>
              <w:right w:val="outset" w:sz="6" w:space="0" w:color="auto"/>
            </w:tcBorders>
            <w:vAlign w:val="center"/>
            <w:hideMark/>
          </w:tcPr>
          <w:p w14:paraId="2B427B66" w14:textId="77777777" w:rsidR="00BA3275" w:rsidRDefault="00000000" w:rsidP="002F11A6">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084CB9A" w14:textId="77777777" w:rsidR="00BA3275" w:rsidRDefault="00000000">
            <w:pPr>
              <w:jc w:val="right"/>
              <w:rPr>
                <w:rFonts w:eastAsia="Times New Roman"/>
              </w:rPr>
            </w:pPr>
            <w:r>
              <w:rPr>
                <w:rFonts w:ascii="Arial" w:eastAsia="Times New Roman" w:hAnsi="Arial" w:cs="Arial"/>
                <w:sz w:val="16"/>
                <w:szCs w:val="16"/>
              </w:rPr>
              <w:t>8.131,58</w:t>
            </w:r>
          </w:p>
        </w:tc>
      </w:tr>
      <w:tr w:rsidR="00BA3275" w14:paraId="7BCBDAD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0D3ABDB" w14:textId="77777777" w:rsidR="00BA3275" w:rsidRDefault="00000000">
            <w:pPr>
              <w:rPr>
                <w:rFonts w:eastAsia="Times New Roman"/>
              </w:rPr>
            </w:pPr>
            <w:r>
              <w:rPr>
                <w:rFonts w:ascii="Arial" w:eastAsia="Times New Roman" w:hAnsi="Arial" w:cs="Arial"/>
                <w:sz w:val="16"/>
                <w:szCs w:val="16"/>
              </w:rPr>
              <w:t>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374EC1E" w14:textId="77777777" w:rsidR="00BA3275" w:rsidRDefault="00000000" w:rsidP="002F11A6">
            <w:pPr>
              <w:jc w:val="right"/>
              <w:rPr>
                <w:rFonts w:eastAsia="Times New Roman"/>
              </w:rPr>
            </w:pPr>
            <w:r>
              <w:rPr>
                <w:rFonts w:ascii="Arial" w:eastAsia="Times New Roman" w:hAnsi="Arial" w:cs="Arial"/>
                <w:sz w:val="16"/>
                <w:szCs w:val="16"/>
              </w:rPr>
              <w:t>149.898,99</w:t>
            </w:r>
          </w:p>
        </w:tc>
        <w:tc>
          <w:tcPr>
            <w:tcW w:w="0" w:type="auto"/>
            <w:tcBorders>
              <w:top w:val="outset" w:sz="6" w:space="0" w:color="auto"/>
              <w:left w:val="outset" w:sz="6" w:space="0" w:color="auto"/>
              <w:bottom w:val="outset" w:sz="6" w:space="0" w:color="auto"/>
              <w:right w:val="outset" w:sz="6" w:space="0" w:color="auto"/>
            </w:tcBorders>
            <w:vAlign w:val="center"/>
            <w:hideMark/>
          </w:tcPr>
          <w:p w14:paraId="27930288" w14:textId="77777777" w:rsidR="00BA3275" w:rsidRDefault="00000000" w:rsidP="002F11A6">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D4E7C2" w14:textId="77777777" w:rsidR="00BA3275" w:rsidRDefault="00000000">
            <w:pPr>
              <w:jc w:val="right"/>
              <w:rPr>
                <w:rFonts w:eastAsia="Times New Roman"/>
              </w:rPr>
            </w:pPr>
            <w:r>
              <w:rPr>
                <w:rFonts w:ascii="Arial" w:eastAsia="Times New Roman" w:hAnsi="Arial" w:cs="Arial"/>
                <w:sz w:val="16"/>
                <w:szCs w:val="16"/>
              </w:rPr>
              <w:t>149.898,99</w:t>
            </w:r>
          </w:p>
        </w:tc>
      </w:tr>
      <w:tr w:rsidR="00BA3275" w14:paraId="63526E2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6972A05" w14:textId="77777777" w:rsidR="00BA3275" w:rsidRDefault="00000000">
            <w:pPr>
              <w:rPr>
                <w:rFonts w:eastAsia="Times New Roman"/>
              </w:rPr>
            </w:pPr>
            <w:r>
              <w:rPr>
                <w:rFonts w:ascii="Arial" w:eastAsia="Times New Roman" w:hAnsi="Arial" w:cs="Arial"/>
                <w:sz w:val="16"/>
                <w:szCs w:val="16"/>
              </w:rPr>
              <w:t>Vale Refeição e Alimentação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033D969" w14:textId="77777777" w:rsidR="00BA3275" w:rsidRDefault="00000000" w:rsidP="002F11A6">
            <w:pPr>
              <w:jc w:val="right"/>
              <w:rPr>
                <w:rFonts w:eastAsia="Times New Roman"/>
              </w:rPr>
            </w:pPr>
            <w:r>
              <w:rPr>
                <w:rFonts w:ascii="Arial" w:eastAsia="Times New Roman" w:hAnsi="Arial" w:cs="Arial"/>
                <w:sz w:val="16"/>
                <w:szCs w:val="16"/>
              </w:rPr>
              <w:t>99.818,02</w:t>
            </w:r>
          </w:p>
        </w:tc>
        <w:tc>
          <w:tcPr>
            <w:tcW w:w="0" w:type="auto"/>
            <w:tcBorders>
              <w:top w:val="outset" w:sz="6" w:space="0" w:color="auto"/>
              <w:left w:val="outset" w:sz="6" w:space="0" w:color="auto"/>
              <w:bottom w:val="outset" w:sz="6" w:space="0" w:color="auto"/>
              <w:right w:val="outset" w:sz="6" w:space="0" w:color="auto"/>
            </w:tcBorders>
            <w:vAlign w:val="center"/>
            <w:hideMark/>
          </w:tcPr>
          <w:p w14:paraId="60285195" w14:textId="77777777" w:rsidR="00BA3275" w:rsidRDefault="00000000" w:rsidP="002F11A6">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5CEA311" w14:textId="77777777" w:rsidR="00BA3275" w:rsidRDefault="00000000">
            <w:pPr>
              <w:jc w:val="right"/>
              <w:rPr>
                <w:rFonts w:eastAsia="Times New Roman"/>
              </w:rPr>
            </w:pPr>
            <w:r>
              <w:rPr>
                <w:rFonts w:ascii="Arial" w:eastAsia="Times New Roman" w:hAnsi="Arial" w:cs="Arial"/>
                <w:sz w:val="16"/>
                <w:szCs w:val="16"/>
              </w:rPr>
              <w:t>99.818,02</w:t>
            </w:r>
          </w:p>
        </w:tc>
      </w:tr>
      <w:tr w:rsidR="00BA3275" w14:paraId="7734E92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C59E4F4" w14:textId="77777777" w:rsidR="00BA3275" w:rsidRDefault="00000000">
            <w:pPr>
              <w:rPr>
                <w:rFonts w:eastAsia="Times New Roman"/>
              </w:rPr>
            </w:pPr>
            <w:r>
              <w:rPr>
                <w:rFonts w:ascii="Arial" w:eastAsia="Times New Roman" w:hAnsi="Arial" w:cs="Arial"/>
                <w:sz w:val="16"/>
                <w:szCs w:val="16"/>
              </w:rPr>
              <w:t>Software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4FB14359" w14:textId="77777777" w:rsidR="00BA3275" w:rsidRDefault="00000000" w:rsidP="002F11A6">
            <w:pPr>
              <w:jc w:val="right"/>
              <w:rPr>
                <w:rFonts w:eastAsia="Times New Roman"/>
              </w:rPr>
            </w:pPr>
            <w:r>
              <w:rPr>
                <w:rFonts w:ascii="Arial" w:eastAsia="Times New Roman" w:hAnsi="Arial" w:cs="Arial"/>
                <w:sz w:val="16"/>
                <w:szCs w:val="16"/>
              </w:rPr>
              <w:t>0,04</w:t>
            </w:r>
          </w:p>
        </w:tc>
        <w:tc>
          <w:tcPr>
            <w:tcW w:w="0" w:type="auto"/>
            <w:tcBorders>
              <w:top w:val="outset" w:sz="6" w:space="0" w:color="auto"/>
              <w:left w:val="outset" w:sz="6" w:space="0" w:color="auto"/>
              <w:bottom w:val="outset" w:sz="6" w:space="0" w:color="auto"/>
              <w:right w:val="outset" w:sz="6" w:space="0" w:color="auto"/>
            </w:tcBorders>
            <w:vAlign w:val="center"/>
            <w:hideMark/>
          </w:tcPr>
          <w:p w14:paraId="5E719DF3" w14:textId="77777777" w:rsidR="00BA3275" w:rsidRDefault="00000000" w:rsidP="002F11A6">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7C54D57" w14:textId="77777777" w:rsidR="00BA3275" w:rsidRDefault="00000000">
            <w:pPr>
              <w:jc w:val="right"/>
              <w:rPr>
                <w:rFonts w:eastAsia="Times New Roman"/>
              </w:rPr>
            </w:pPr>
            <w:r>
              <w:rPr>
                <w:rFonts w:ascii="Arial" w:eastAsia="Times New Roman" w:hAnsi="Arial" w:cs="Arial"/>
                <w:sz w:val="16"/>
                <w:szCs w:val="16"/>
              </w:rPr>
              <w:t>0,04</w:t>
            </w:r>
          </w:p>
        </w:tc>
      </w:tr>
      <w:tr w:rsidR="00BA3275" w14:paraId="669430A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3E27D1A" w14:textId="77777777" w:rsidR="00BA3275" w:rsidRDefault="00000000">
            <w:pPr>
              <w:rPr>
                <w:rFonts w:eastAsia="Times New Roman"/>
              </w:rPr>
            </w:pPr>
            <w:r>
              <w:rPr>
                <w:rFonts w:ascii="Arial" w:eastAsia="Times New Roman" w:hAnsi="Arial" w:cs="Arial"/>
                <w:sz w:val="16"/>
                <w:szCs w:val="16"/>
              </w:rPr>
              <w:t>Alvará de Funcionamento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2E61DCB" w14:textId="77777777" w:rsidR="00BA3275" w:rsidRDefault="00000000" w:rsidP="002F11A6">
            <w:pPr>
              <w:jc w:val="right"/>
              <w:rPr>
                <w:rFonts w:eastAsia="Times New Roman"/>
              </w:rPr>
            </w:pPr>
            <w:r>
              <w:rPr>
                <w:rFonts w:ascii="Arial" w:eastAsia="Times New Roman" w:hAnsi="Arial" w:cs="Arial"/>
                <w:sz w:val="16"/>
                <w:szCs w:val="16"/>
              </w:rPr>
              <w:t>802,06</w:t>
            </w:r>
          </w:p>
        </w:tc>
        <w:tc>
          <w:tcPr>
            <w:tcW w:w="0" w:type="auto"/>
            <w:tcBorders>
              <w:top w:val="outset" w:sz="6" w:space="0" w:color="auto"/>
              <w:left w:val="outset" w:sz="6" w:space="0" w:color="auto"/>
              <w:bottom w:val="outset" w:sz="6" w:space="0" w:color="auto"/>
              <w:right w:val="outset" w:sz="6" w:space="0" w:color="auto"/>
            </w:tcBorders>
            <w:vAlign w:val="center"/>
            <w:hideMark/>
          </w:tcPr>
          <w:p w14:paraId="3111DC4C" w14:textId="77777777" w:rsidR="00BA3275" w:rsidRDefault="00000000" w:rsidP="002F11A6">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53D2A80" w14:textId="77777777" w:rsidR="00BA3275" w:rsidRDefault="00000000">
            <w:pPr>
              <w:jc w:val="right"/>
              <w:rPr>
                <w:rFonts w:eastAsia="Times New Roman"/>
              </w:rPr>
            </w:pPr>
            <w:r>
              <w:rPr>
                <w:rFonts w:ascii="Arial" w:eastAsia="Times New Roman" w:hAnsi="Arial" w:cs="Arial"/>
                <w:sz w:val="16"/>
                <w:szCs w:val="16"/>
              </w:rPr>
              <w:t>802,06</w:t>
            </w:r>
          </w:p>
        </w:tc>
      </w:tr>
      <w:tr w:rsidR="00BA3275" w14:paraId="585B06A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E1AC9A2" w14:textId="77777777" w:rsidR="00BA3275" w:rsidRDefault="00000000">
            <w:pPr>
              <w:rPr>
                <w:rFonts w:eastAsia="Times New Roman"/>
              </w:rPr>
            </w:pPr>
            <w:r>
              <w:rPr>
                <w:rFonts w:ascii="Arial" w:eastAsia="Times New Roman" w:hAnsi="Arial" w:cs="Arial"/>
                <w:sz w:val="16"/>
                <w:szCs w:val="16"/>
              </w:rPr>
              <w:t>Contribuição Confederativa</w:t>
            </w:r>
          </w:p>
        </w:tc>
        <w:tc>
          <w:tcPr>
            <w:tcW w:w="0" w:type="auto"/>
            <w:tcBorders>
              <w:top w:val="outset" w:sz="6" w:space="0" w:color="auto"/>
              <w:left w:val="outset" w:sz="6" w:space="0" w:color="auto"/>
              <w:bottom w:val="outset" w:sz="6" w:space="0" w:color="auto"/>
              <w:right w:val="outset" w:sz="6" w:space="0" w:color="auto"/>
            </w:tcBorders>
            <w:vAlign w:val="center"/>
            <w:hideMark/>
          </w:tcPr>
          <w:p w14:paraId="44B645AF" w14:textId="77777777" w:rsidR="00BA3275" w:rsidRDefault="00000000" w:rsidP="002F11A6">
            <w:pPr>
              <w:jc w:val="right"/>
              <w:rPr>
                <w:rFonts w:eastAsia="Times New Roman"/>
              </w:rPr>
            </w:pPr>
            <w:r>
              <w:rPr>
                <w:rFonts w:ascii="Arial" w:eastAsia="Times New Roman" w:hAnsi="Arial" w:cs="Arial"/>
                <w:sz w:val="16"/>
                <w:szCs w:val="16"/>
              </w:rPr>
              <w:t>142.774,95</w:t>
            </w:r>
          </w:p>
        </w:tc>
        <w:tc>
          <w:tcPr>
            <w:tcW w:w="0" w:type="auto"/>
            <w:tcBorders>
              <w:top w:val="outset" w:sz="6" w:space="0" w:color="auto"/>
              <w:left w:val="outset" w:sz="6" w:space="0" w:color="auto"/>
              <w:bottom w:val="outset" w:sz="6" w:space="0" w:color="auto"/>
              <w:right w:val="outset" w:sz="6" w:space="0" w:color="auto"/>
            </w:tcBorders>
            <w:vAlign w:val="center"/>
            <w:hideMark/>
          </w:tcPr>
          <w:p w14:paraId="1F9C31C1" w14:textId="77777777" w:rsidR="00BA3275" w:rsidRDefault="00000000" w:rsidP="002F11A6">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62D7129" w14:textId="77777777" w:rsidR="00BA3275" w:rsidRDefault="00000000">
            <w:pPr>
              <w:jc w:val="right"/>
              <w:rPr>
                <w:rFonts w:eastAsia="Times New Roman"/>
              </w:rPr>
            </w:pPr>
            <w:r>
              <w:rPr>
                <w:rFonts w:ascii="Arial" w:eastAsia="Times New Roman" w:hAnsi="Arial" w:cs="Arial"/>
                <w:sz w:val="16"/>
                <w:szCs w:val="16"/>
              </w:rPr>
              <w:t>142.774,95</w:t>
            </w:r>
          </w:p>
        </w:tc>
      </w:tr>
      <w:tr w:rsidR="00BA3275" w14:paraId="00E21C6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71A85C4" w14:textId="77777777" w:rsidR="00BA3275" w:rsidRDefault="00000000">
            <w:pPr>
              <w:rPr>
                <w:rFonts w:eastAsia="Times New Roman"/>
              </w:rPr>
            </w:pPr>
            <w:r>
              <w:rPr>
                <w:rFonts w:ascii="Arial" w:eastAsia="Times New Roman" w:hAnsi="Arial" w:cs="Arial"/>
                <w:sz w:val="16"/>
                <w:szCs w:val="16"/>
              </w:rPr>
              <w:t>Outras Despesas Pagas Antecipadamente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F8A6EEC" w14:textId="77777777" w:rsidR="00BA3275" w:rsidRDefault="00000000" w:rsidP="002F11A6">
            <w:pPr>
              <w:jc w:val="right"/>
              <w:rPr>
                <w:rFonts w:eastAsia="Times New Roman"/>
              </w:rPr>
            </w:pPr>
            <w:r>
              <w:rPr>
                <w:rFonts w:ascii="Arial" w:eastAsia="Times New Roman" w:hAnsi="Arial" w:cs="Arial"/>
                <w:sz w:val="16"/>
                <w:szCs w:val="16"/>
              </w:rPr>
              <w:t>77.999,99</w:t>
            </w:r>
          </w:p>
        </w:tc>
        <w:tc>
          <w:tcPr>
            <w:tcW w:w="0" w:type="auto"/>
            <w:tcBorders>
              <w:top w:val="outset" w:sz="6" w:space="0" w:color="auto"/>
              <w:left w:val="outset" w:sz="6" w:space="0" w:color="auto"/>
              <w:bottom w:val="outset" w:sz="6" w:space="0" w:color="auto"/>
              <w:right w:val="outset" w:sz="6" w:space="0" w:color="auto"/>
            </w:tcBorders>
            <w:vAlign w:val="center"/>
            <w:hideMark/>
          </w:tcPr>
          <w:p w14:paraId="4CCE087C" w14:textId="77777777" w:rsidR="00BA3275" w:rsidRDefault="00000000" w:rsidP="002F11A6">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7285218" w14:textId="77777777" w:rsidR="00BA3275" w:rsidRDefault="00000000">
            <w:pPr>
              <w:jc w:val="right"/>
              <w:rPr>
                <w:rFonts w:eastAsia="Times New Roman"/>
              </w:rPr>
            </w:pPr>
            <w:r>
              <w:rPr>
                <w:rFonts w:ascii="Arial" w:eastAsia="Times New Roman" w:hAnsi="Arial" w:cs="Arial"/>
                <w:sz w:val="16"/>
                <w:szCs w:val="16"/>
              </w:rPr>
              <w:t>77.999,99</w:t>
            </w:r>
          </w:p>
        </w:tc>
      </w:tr>
      <w:tr w:rsidR="00BA3275" w14:paraId="4E769DB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D68E319" w14:textId="77777777" w:rsidR="00BA3275"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BDD390F" w14:textId="77777777" w:rsidR="00BA3275" w:rsidRDefault="00000000" w:rsidP="002F11A6">
            <w:pPr>
              <w:jc w:val="right"/>
              <w:rPr>
                <w:rFonts w:eastAsia="Times New Roman"/>
              </w:rPr>
            </w:pPr>
            <w:r>
              <w:rPr>
                <w:rFonts w:ascii="Arial" w:eastAsia="Times New Roman" w:hAnsi="Arial" w:cs="Arial"/>
                <w:b/>
                <w:bCs/>
                <w:sz w:val="16"/>
                <w:szCs w:val="16"/>
              </w:rPr>
              <w:t>488.896,46</w:t>
            </w:r>
          </w:p>
        </w:tc>
        <w:tc>
          <w:tcPr>
            <w:tcW w:w="0" w:type="auto"/>
            <w:tcBorders>
              <w:top w:val="outset" w:sz="6" w:space="0" w:color="auto"/>
              <w:left w:val="outset" w:sz="6" w:space="0" w:color="auto"/>
              <w:bottom w:val="outset" w:sz="6" w:space="0" w:color="auto"/>
              <w:right w:val="outset" w:sz="6" w:space="0" w:color="auto"/>
            </w:tcBorders>
            <w:vAlign w:val="center"/>
            <w:hideMark/>
          </w:tcPr>
          <w:p w14:paraId="30E2C6F2" w14:textId="77777777" w:rsidR="00BA3275" w:rsidRDefault="00000000" w:rsidP="002F11A6">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70B3B" w14:textId="77777777" w:rsidR="00BA3275" w:rsidRDefault="00000000">
            <w:pPr>
              <w:jc w:val="right"/>
              <w:rPr>
                <w:rFonts w:eastAsia="Times New Roman"/>
              </w:rPr>
            </w:pPr>
            <w:r>
              <w:rPr>
                <w:rFonts w:ascii="Arial" w:eastAsia="Times New Roman" w:hAnsi="Arial" w:cs="Arial"/>
                <w:b/>
                <w:bCs/>
                <w:sz w:val="16"/>
                <w:szCs w:val="16"/>
              </w:rPr>
              <w:t>488.896,46</w:t>
            </w:r>
          </w:p>
        </w:tc>
      </w:tr>
    </w:tbl>
    <w:p w14:paraId="1F2C0CF4" w14:textId="77777777" w:rsidR="00BA3275" w:rsidRDefault="00000000">
      <w:pPr>
        <w:pStyle w:val="NormalWeb"/>
      </w:pPr>
      <w:r>
        <w:rPr>
          <w:rFonts w:ascii="Arial" w:hAnsi="Arial" w:cs="Arial"/>
          <w:b/>
          <w:bCs/>
          <w:sz w:val="20"/>
          <w:szCs w:val="20"/>
        </w:rPr>
        <w:t>10. Imobilizado de Uso</w:t>
      </w:r>
    </w:p>
    <w:p w14:paraId="77F9AAAE" w14:textId="77777777" w:rsidR="00BA3275" w:rsidRDefault="00000000">
      <w:pPr>
        <w:pStyle w:val="NormalWeb"/>
        <w:jc w:val="both"/>
      </w:pPr>
      <w:r>
        <w:rPr>
          <w:rFonts w:ascii="Arial" w:hAnsi="Arial" w:cs="Arial"/>
          <w:sz w:val="20"/>
          <w:szCs w:val="20"/>
        </w:rPr>
        <w:lastRenderedPageBreak/>
        <w:t>Em 30 de junho de 2025, os montantes do imobilizado de uso estão assim compostos:</w:t>
      </w:r>
    </w:p>
    <w:tbl>
      <w:tblPr>
        <w:tblW w:w="5000" w:type="pct"/>
        <w:tblCellMar>
          <w:left w:w="0" w:type="dxa"/>
          <w:right w:w="0" w:type="dxa"/>
        </w:tblCellMar>
        <w:tblLook w:val="04A0" w:firstRow="1" w:lastRow="0" w:firstColumn="1" w:lastColumn="0" w:noHBand="0" w:noVBand="1"/>
      </w:tblPr>
      <w:tblGrid>
        <w:gridCol w:w="2805"/>
        <w:gridCol w:w="1983"/>
        <w:gridCol w:w="1180"/>
        <w:gridCol w:w="2321"/>
        <w:gridCol w:w="1333"/>
      </w:tblGrid>
      <w:tr w:rsidR="00BA3275" w14:paraId="1D33BD17" w14:textId="77777777">
        <w:trPr>
          <w:trHeight w:val="150"/>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4015BE56"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33CF18F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4E9D8A5" w14:textId="77777777" w:rsidR="00BA3275"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A29221B" w14:textId="77777777" w:rsidR="00BA3275" w:rsidRDefault="00000000">
            <w:pPr>
              <w:jc w:val="center"/>
              <w:rPr>
                <w:rFonts w:eastAsia="Times New Roman"/>
              </w:rPr>
            </w:pPr>
            <w:r>
              <w:rPr>
                <w:rFonts w:ascii="Arial" w:eastAsia="Times New Roman" w:hAnsi="Arial" w:cs="Arial"/>
                <w:b/>
                <w:bCs/>
                <w:sz w:val="16"/>
                <w:szCs w:val="16"/>
              </w:rPr>
              <w:t>Taxa de Depreciação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E62CB" w14:textId="77777777" w:rsidR="00BA3275" w:rsidRDefault="00000000">
            <w:pPr>
              <w:jc w:val="center"/>
              <w:rPr>
                <w:rFonts w:eastAsia="Times New Roman"/>
              </w:rPr>
            </w:pPr>
            <w:r>
              <w:rPr>
                <w:rFonts w:ascii="Arial" w:eastAsia="Times New Roman" w:hAnsi="Arial" w:cs="Arial"/>
                <w:b/>
                <w:bCs/>
                <w:sz w:val="16"/>
                <w:szCs w:val="16"/>
              </w:rPr>
              <w:t>Custo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DF0B853" w14:textId="77777777" w:rsidR="00BA3275" w:rsidRDefault="00000000">
            <w:pPr>
              <w:jc w:val="center"/>
              <w:rPr>
                <w:rFonts w:eastAsia="Times New Roman"/>
              </w:rPr>
            </w:pPr>
            <w:r>
              <w:rPr>
                <w:rFonts w:ascii="Arial" w:eastAsia="Times New Roman" w:hAnsi="Arial" w:cs="Arial"/>
                <w:b/>
                <w:bCs/>
                <w:sz w:val="16"/>
                <w:szCs w:val="16"/>
              </w:rPr>
              <w:t>Depreciação Acumulada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36DC12EF" w14:textId="77777777" w:rsidR="00BA3275" w:rsidRDefault="00000000">
            <w:pPr>
              <w:jc w:val="center"/>
              <w:rPr>
                <w:rFonts w:eastAsia="Times New Roman"/>
              </w:rPr>
            </w:pPr>
            <w:r>
              <w:rPr>
                <w:rFonts w:ascii="Arial" w:eastAsia="Times New Roman" w:hAnsi="Arial" w:cs="Arial"/>
                <w:b/>
                <w:bCs/>
                <w:sz w:val="16"/>
                <w:szCs w:val="16"/>
              </w:rPr>
              <w:t>Saldo Líquido</w:t>
            </w:r>
          </w:p>
        </w:tc>
      </w:tr>
      <w:tr w:rsidR="00BA3275" w14:paraId="062D93B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AFC9F48" w14:textId="77777777" w:rsidR="00BA3275" w:rsidRDefault="00000000">
            <w:pPr>
              <w:rPr>
                <w:rFonts w:eastAsia="Times New Roman"/>
              </w:rPr>
            </w:pPr>
            <w:r>
              <w:rPr>
                <w:rFonts w:ascii="Arial" w:eastAsia="Times New Roman" w:hAnsi="Arial" w:cs="Arial"/>
                <w:sz w:val="16"/>
                <w:szCs w:val="16"/>
              </w:rPr>
              <w:t>Imobilizado em Curso (a)</w:t>
            </w:r>
          </w:p>
        </w:tc>
        <w:tc>
          <w:tcPr>
            <w:tcW w:w="0" w:type="auto"/>
            <w:tcBorders>
              <w:top w:val="outset" w:sz="6" w:space="0" w:color="auto"/>
              <w:left w:val="outset" w:sz="6" w:space="0" w:color="auto"/>
              <w:bottom w:val="outset" w:sz="6" w:space="0" w:color="auto"/>
              <w:right w:val="outset" w:sz="6" w:space="0" w:color="auto"/>
            </w:tcBorders>
            <w:vAlign w:val="center"/>
            <w:hideMark/>
          </w:tcPr>
          <w:p w14:paraId="38775CCE" w14:textId="77777777" w:rsidR="00BA3275" w:rsidRDefault="00000000">
            <w:pPr>
              <w:jc w:val="right"/>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3027E5" w14:textId="77777777" w:rsidR="00BA3275" w:rsidRDefault="00000000">
            <w:pPr>
              <w:jc w:val="right"/>
              <w:rPr>
                <w:rFonts w:eastAsia="Times New Roman"/>
              </w:rPr>
            </w:pPr>
            <w:r>
              <w:rPr>
                <w:rFonts w:ascii="Arial" w:eastAsia="Times New Roman" w:hAnsi="Arial" w:cs="Arial"/>
                <w:sz w:val="16"/>
                <w:szCs w:val="16"/>
              </w:rPr>
              <w:t>104.128,34</w:t>
            </w:r>
          </w:p>
        </w:tc>
        <w:tc>
          <w:tcPr>
            <w:tcW w:w="0" w:type="auto"/>
            <w:tcBorders>
              <w:top w:val="outset" w:sz="6" w:space="0" w:color="auto"/>
              <w:left w:val="outset" w:sz="6" w:space="0" w:color="auto"/>
              <w:bottom w:val="outset" w:sz="6" w:space="0" w:color="auto"/>
              <w:right w:val="outset" w:sz="6" w:space="0" w:color="auto"/>
            </w:tcBorders>
            <w:vAlign w:val="center"/>
            <w:hideMark/>
          </w:tcPr>
          <w:p w14:paraId="10776CF6" w14:textId="5D2D84C8" w:rsidR="00BA3275" w:rsidRDefault="00C01518">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09BDB01" w14:textId="77777777" w:rsidR="00BA3275" w:rsidRDefault="00000000">
            <w:pPr>
              <w:jc w:val="right"/>
              <w:rPr>
                <w:rFonts w:eastAsia="Times New Roman"/>
              </w:rPr>
            </w:pPr>
            <w:r>
              <w:rPr>
                <w:rFonts w:ascii="Arial" w:eastAsia="Times New Roman" w:hAnsi="Arial" w:cs="Arial"/>
                <w:sz w:val="16"/>
                <w:szCs w:val="16"/>
              </w:rPr>
              <w:t>104.128,34</w:t>
            </w:r>
          </w:p>
        </w:tc>
      </w:tr>
      <w:tr w:rsidR="00BA3275" w14:paraId="79814DB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D8807CE" w14:textId="77777777" w:rsidR="00BA3275" w:rsidRDefault="00000000">
            <w:pPr>
              <w:rPr>
                <w:rFonts w:eastAsia="Times New Roman"/>
              </w:rPr>
            </w:pPr>
            <w:r>
              <w:rPr>
                <w:rFonts w:ascii="Arial" w:eastAsia="Times New Roman" w:hAnsi="Arial" w:cs="Arial"/>
                <w:sz w:val="16"/>
                <w:szCs w:val="16"/>
              </w:rPr>
              <w:t>Terrenos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A03225" w14:textId="77777777" w:rsidR="00BA3275" w:rsidRDefault="00000000">
            <w:pPr>
              <w:jc w:val="right"/>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B073C8" w14:textId="77777777" w:rsidR="00BA3275" w:rsidRDefault="00000000">
            <w:pPr>
              <w:jc w:val="right"/>
              <w:rPr>
                <w:rFonts w:eastAsia="Times New Roman"/>
              </w:rPr>
            </w:pPr>
            <w:r>
              <w:rPr>
                <w:rFonts w:ascii="Arial" w:eastAsia="Times New Roman" w:hAnsi="Arial" w:cs="Arial"/>
                <w:sz w:val="16"/>
                <w:szCs w:val="16"/>
              </w:rPr>
              <w:t>823.910,80</w:t>
            </w:r>
          </w:p>
        </w:tc>
        <w:tc>
          <w:tcPr>
            <w:tcW w:w="0" w:type="auto"/>
            <w:tcBorders>
              <w:top w:val="outset" w:sz="6" w:space="0" w:color="auto"/>
              <w:left w:val="outset" w:sz="6" w:space="0" w:color="auto"/>
              <w:bottom w:val="outset" w:sz="6" w:space="0" w:color="auto"/>
              <w:right w:val="outset" w:sz="6" w:space="0" w:color="auto"/>
            </w:tcBorders>
            <w:vAlign w:val="center"/>
            <w:hideMark/>
          </w:tcPr>
          <w:p w14:paraId="6E569E4A" w14:textId="169D0A32" w:rsidR="00BA3275" w:rsidRDefault="00C01518">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036689" w14:textId="77777777" w:rsidR="00BA3275" w:rsidRDefault="00000000">
            <w:pPr>
              <w:jc w:val="right"/>
              <w:rPr>
                <w:rFonts w:eastAsia="Times New Roman"/>
              </w:rPr>
            </w:pPr>
            <w:r>
              <w:rPr>
                <w:rFonts w:ascii="Arial" w:eastAsia="Times New Roman" w:hAnsi="Arial" w:cs="Arial"/>
                <w:sz w:val="16"/>
                <w:szCs w:val="16"/>
              </w:rPr>
              <w:t>823.910,80</w:t>
            </w:r>
          </w:p>
        </w:tc>
      </w:tr>
      <w:tr w:rsidR="00BA3275" w14:paraId="401C67A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0903FCC" w14:textId="77777777" w:rsidR="00BA3275" w:rsidRDefault="00000000">
            <w:pPr>
              <w:rPr>
                <w:rFonts w:eastAsia="Times New Roman"/>
              </w:rPr>
            </w:pPr>
            <w:r>
              <w:rPr>
                <w:rFonts w:ascii="Arial" w:eastAsia="Times New Roman" w:hAnsi="Arial" w:cs="Arial"/>
                <w:sz w:val="16"/>
                <w:szCs w:val="16"/>
              </w:rPr>
              <w:t>Edificações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EC63ED" w14:textId="77777777" w:rsidR="00BA3275" w:rsidRDefault="00000000">
            <w:pPr>
              <w:jc w:val="center"/>
              <w:rPr>
                <w:rFonts w:eastAsia="Times New Roman"/>
              </w:rPr>
            </w:pPr>
            <w:r>
              <w:rPr>
                <w:rFonts w:ascii="Arial" w:eastAsia="Times New Roman" w:hAnsi="Arial" w:cs="Arial"/>
                <w:sz w:val="16"/>
                <w:szCs w:val="16"/>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4FC26DD0" w14:textId="77777777" w:rsidR="00BA3275" w:rsidRDefault="00000000">
            <w:pPr>
              <w:jc w:val="right"/>
              <w:rPr>
                <w:rFonts w:eastAsia="Times New Roman"/>
              </w:rPr>
            </w:pPr>
            <w:r>
              <w:rPr>
                <w:rFonts w:ascii="Arial" w:eastAsia="Times New Roman" w:hAnsi="Arial" w:cs="Arial"/>
                <w:sz w:val="16"/>
                <w:szCs w:val="16"/>
              </w:rPr>
              <w:t>6.071.124,48</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BA1EC" w14:textId="77777777" w:rsidR="00BA3275" w:rsidRDefault="00000000">
            <w:pPr>
              <w:jc w:val="right"/>
              <w:rPr>
                <w:rFonts w:eastAsia="Times New Roman"/>
              </w:rPr>
            </w:pPr>
            <w:r>
              <w:rPr>
                <w:rFonts w:ascii="Arial" w:eastAsia="Times New Roman" w:hAnsi="Arial" w:cs="Arial"/>
                <w:sz w:val="16"/>
                <w:szCs w:val="16"/>
              </w:rPr>
              <w:t>(2.162.056,49)</w:t>
            </w:r>
          </w:p>
        </w:tc>
        <w:tc>
          <w:tcPr>
            <w:tcW w:w="0" w:type="auto"/>
            <w:tcBorders>
              <w:top w:val="outset" w:sz="6" w:space="0" w:color="auto"/>
              <w:left w:val="outset" w:sz="6" w:space="0" w:color="auto"/>
              <w:bottom w:val="outset" w:sz="6" w:space="0" w:color="auto"/>
              <w:right w:val="outset" w:sz="6" w:space="0" w:color="auto"/>
            </w:tcBorders>
            <w:vAlign w:val="center"/>
            <w:hideMark/>
          </w:tcPr>
          <w:p w14:paraId="007FC104" w14:textId="77777777" w:rsidR="00BA3275" w:rsidRDefault="00000000">
            <w:pPr>
              <w:jc w:val="right"/>
              <w:rPr>
                <w:rFonts w:eastAsia="Times New Roman"/>
              </w:rPr>
            </w:pPr>
            <w:r>
              <w:rPr>
                <w:rFonts w:ascii="Arial" w:eastAsia="Times New Roman" w:hAnsi="Arial" w:cs="Arial"/>
                <w:sz w:val="16"/>
                <w:szCs w:val="16"/>
              </w:rPr>
              <w:t>3.909.067,99</w:t>
            </w:r>
          </w:p>
        </w:tc>
      </w:tr>
      <w:tr w:rsidR="00BA3275" w14:paraId="3F02F35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CC26504" w14:textId="77777777" w:rsidR="00BA3275" w:rsidRDefault="00000000">
            <w:pPr>
              <w:rPr>
                <w:rFonts w:eastAsia="Times New Roman"/>
              </w:rPr>
            </w:pPr>
            <w:r>
              <w:rPr>
                <w:rFonts w:ascii="Arial" w:eastAsia="Times New Roman" w:hAnsi="Arial" w:cs="Arial"/>
                <w:sz w:val="16"/>
                <w:szCs w:val="16"/>
              </w:rPr>
              <w:t>Instalações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AA117C" w14:textId="77777777" w:rsidR="00BA3275" w:rsidRDefault="00000000">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F6DA361" w14:textId="77777777" w:rsidR="00BA3275" w:rsidRDefault="00000000">
            <w:pPr>
              <w:jc w:val="right"/>
              <w:rPr>
                <w:rFonts w:eastAsia="Times New Roman"/>
              </w:rPr>
            </w:pPr>
            <w:r>
              <w:rPr>
                <w:rFonts w:ascii="Arial" w:eastAsia="Times New Roman" w:hAnsi="Arial" w:cs="Arial"/>
                <w:sz w:val="16"/>
                <w:szCs w:val="16"/>
              </w:rPr>
              <w:t>110.889,91</w:t>
            </w:r>
          </w:p>
        </w:tc>
        <w:tc>
          <w:tcPr>
            <w:tcW w:w="0" w:type="auto"/>
            <w:tcBorders>
              <w:top w:val="outset" w:sz="6" w:space="0" w:color="auto"/>
              <w:left w:val="outset" w:sz="6" w:space="0" w:color="auto"/>
              <w:bottom w:val="outset" w:sz="6" w:space="0" w:color="auto"/>
              <w:right w:val="outset" w:sz="6" w:space="0" w:color="auto"/>
            </w:tcBorders>
            <w:vAlign w:val="center"/>
            <w:hideMark/>
          </w:tcPr>
          <w:p w14:paraId="0C219835" w14:textId="77777777" w:rsidR="00BA3275" w:rsidRDefault="00000000">
            <w:pPr>
              <w:jc w:val="right"/>
              <w:rPr>
                <w:rFonts w:eastAsia="Times New Roman"/>
              </w:rPr>
            </w:pPr>
            <w:r>
              <w:rPr>
                <w:rFonts w:ascii="Arial" w:eastAsia="Times New Roman" w:hAnsi="Arial" w:cs="Arial"/>
                <w:sz w:val="16"/>
                <w:szCs w:val="16"/>
              </w:rPr>
              <w:t>(56.735,82)</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8E62B" w14:textId="77777777" w:rsidR="00BA3275" w:rsidRDefault="00000000">
            <w:pPr>
              <w:jc w:val="right"/>
              <w:rPr>
                <w:rFonts w:eastAsia="Times New Roman"/>
              </w:rPr>
            </w:pPr>
            <w:r>
              <w:rPr>
                <w:rFonts w:ascii="Arial" w:eastAsia="Times New Roman" w:hAnsi="Arial" w:cs="Arial"/>
                <w:sz w:val="16"/>
                <w:szCs w:val="16"/>
              </w:rPr>
              <w:t>54.154,09</w:t>
            </w:r>
          </w:p>
        </w:tc>
      </w:tr>
      <w:tr w:rsidR="00BA3275" w14:paraId="0BA7C5F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F3D08EB" w14:textId="77777777" w:rsidR="00BA3275" w:rsidRDefault="00000000">
            <w:pPr>
              <w:rPr>
                <w:rFonts w:eastAsia="Times New Roman"/>
              </w:rPr>
            </w:pPr>
            <w:r>
              <w:rPr>
                <w:rFonts w:ascii="Arial" w:eastAsia="Times New Roman" w:hAnsi="Arial" w:cs="Arial"/>
                <w:sz w:val="16"/>
                <w:szCs w:val="16"/>
              </w:rPr>
              <w:t>Móveis e equipamentos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138C1CCE" w14:textId="77777777" w:rsidR="00BA3275" w:rsidRDefault="00000000">
            <w:pPr>
              <w:jc w:val="center"/>
              <w:rPr>
                <w:rFonts w:eastAsia="Times New Roman"/>
              </w:rPr>
            </w:pPr>
            <w:r>
              <w:rPr>
                <w:rFonts w:ascii="Arial" w:eastAsia="Times New Roman" w:hAnsi="Arial" w:cs="Arial"/>
                <w:sz w:val="16"/>
                <w:szCs w:val="16"/>
              </w:rPr>
              <w:t>10% - 20%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39C103" w14:textId="77777777" w:rsidR="00BA3275" w:rsidRDefault="00000000">
            <w:pPr>
              <w:jc w:val="right"/>
              <w:rPr>
                <w:rFonts w:eastAsia="Times New Roman"/>
              </w:rPr>
            </w:pPr>
            <w:r>
              <w:rPr>
                <w:rFonts w:ascii="Arial" w:eastAsia="Times New Roman" w:hAnsi="Arial" w:cs="Arial"/>
                <w:sz w:val="16"/>
                <w:szCs w:val="16"/>
              </w:rPr>
              <w:t>2.649.918,50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AE5015" w14:textId="77777777" w:rsidR="00BA3275" w:rsidRDefault="00000000">
            <w:pPr>
              <w:jc w:val="right"/>
              <w:rPr>
                <w:rFonts w:eastAsia="Times New Roman"/>
              </w:rPr>
            </w:pPr>
            <w:r>
              <w:rPr>
                <w:rFonts w:ascii="Arial" w:eastAsia="Times New Roman" w:hAnsi="Arial" w:cs="Arial"/>
                <w:sz w:val="16"/>
                <w:szCs w:val="16"/>
              </w:rPr>
              <w:t>(2.043.833,44)</w:t>
            </w:r>
          </w:p>
        </w:tc>
        <w:tc>
          <w:tcPr>
            <w:tcW w:w="0" w:type="auto"/>
            <w:tcBorders>
              <w:top w:val="outset" w:sz="6" w:space="0" w:color="auto"/>
              <w:left w:val="outset" w:sz="6" w:space="0" w:color="auto"/>
              <w:bottom w:val="outset" w:sz="6" w:space="0" w:color="auto"/>
              <w:right w:val="outset" w:sz="6" w:space="0" w:color="auto"/>
            </w:tcBorders>
            <w:vAlign w:val="center"/>
            <w:hideMark/>
          </w:tcPr>
          <w:p w14:paraId="7D42EDBF" w14:textId="77777777" w:rsidR="00BA3275" w:rsidRDefault="00000000">
            <w:pPr>
              <w:jc w:val="right"/>
              <w:rPr>
                <w:rFonts w:eastAsia="Times New Roman"/>
              </w:rPr>
            </w:pPr>
            <w:r>
              <w:rPr>
                <w:rFonts w:ascii="Arial" w:eastAsia="Times New Roman" w:hAnsi="Arial" w:cs="Arial"/>
                <w:sz w:val="16"/>
                <w:szCs w:val="16"/>
              </w:rPr>
              <w:t>606.085,06</w:t>
            </w:r>
          </w:p>
        </w:tc>
      </w:tr>
      <w:tr w:rsidR="00BA3275" w14:paraId="45CCDC0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E62637B" w14:textId="77777777" w:rsidR="00BA3275" w:rsidRDefault="00000000">
            <w:pPr>
              <w:rPr>
                <w:rFonts w:eastAsia="Times New Roman"/>
              </w:rPr>
            </w:pPr>
            <w:r>
              <w:rPr>
                <w:rFonts w:ascii="Arial" w:eastAsia="Times New Roman" w:hAnsi="Arial" w:cs="Arial"/>
                <w:b/>
                <w:bCs/>
                <w:sz w:val="16"/>
                <w:szCs w:val="16"/>
              </w:rPr>
              <w:t>Total Imobilizado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5F8F3BD9" w14:textId="77777777" w:rsidR="00BA3275" w:rsidRDefault="00000000">
            <w:pPr>
              <w:jc w:val="center"/>
              <w:rPr>
                <w:rFonts w:eastAsia="Times New Roman"/>
              </w:rPr>
            </w:pPr>
            <w:r>
              <w:rPr>
                <w:rFonts w:ascii="Arial" w:eastAsia="Times New Roman"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7EFB1" w14:textId="77777777" w:rsidR="00BA3275" w:rsidRDefault="00000000">
            <w:pPr>
              <w:jc w:val="right"/>
              <w:rPr>
                <w:rFonts w:eastAsia="Times New Roman"/>
              </w:rPr>
            </w:pPr>
            <w:r>
              <w:rPr>
                <w:rFonts w:ascii="Arial" w:eastAsia="Times New Roman" w:hAnsi="Arial" w:cs="Arial"/>
                <w:b/>
                <w:bCs/>
                <w:sz w:val="16"/>
                <w:szCs w:val="16"/>
              </w:rPr>
              <w:t>9.759.972,03</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31672" w14:textId="77777777" w:rsidR="00BA3275" w:rsidRDefault="00000000">
            <w:pPr>
              <w:jc w:val="right"/>
              <w:rPr>
                <w:rFonts w:eastAsia="Times New Roman"/>
              </w:rPr>
            </w:pPr>
            <w:r>
              <w:rPr>
                <w:rFonts w:ascii="Arial" w:eastAsia="Times New Roman" w:hAnsi="Arial" w:cs="Arial"/>
                <w:b/>
                <w:bCs/>
                <w:sz w:val="16"/>
                <w:szCs w:val="16"/>
              </w:rPr>
              <w:t>(4.262.625,75)</w:t>
            </w:r>
          </w:p>
        </w:tc>
        <w:tc>
          <w:tcPr>
            <w:tcW w:w="0" w:type="auto"/>
            <w:tcBorders>
              <w:top w:val="outset" w:sz="6" w:space="0" w:color="auto"/>
              <w:left w:val="outset" w:sz="6" w:space="0" w:color="auto"/>
              <w:bottom w:val="outset" w:sz="6" w:space="0" w:color="auto"/>
              <w:right w:val="outset" w:sz="6" w:space="0" w:color="auto"/>
            </w:tcBorders>
            <w:vAlign w:val="center"/>
            <w:hideMark/>
          </w:tcPr>
          <w:p w14:paraId="1F70CF49" w14:textId="77777777" w:rsidR="00BA3275" w:rsidRDefault="00000000">
            <w:pPr>
              <w:jc w:val="right"/>
              <w:rPr>
                <w:rFonts w:eastAsia="Times New Roman"/>
              </w:rPr>
            </w:pPr>
            <w:r>
              <w:rPr>
                <w:rFonts w:ascii="Arial" w:eastAsia="Times New Roman" w:hAnsi="Arial" w:cs="Arial"/>
                <w:b/>
                <w:bCs/>
                <w:sz w:val="16"/>
                <w:szCs w:val="16"/>
              </w:rPr>
              <w:t>5.497.346,28</w:t>
            </w:r>
          </w:p>
        </w:tc>
      </w:tr>
    </w:tbl>
    <w:p w14:paraId="1E1254C4" w14:textId="77777777" w:rsidR="00BA3275" w:rsidRDefault="00000000">
      <w:pPr>
        <w:pStyle w:val="NormalWeb"/>
        <w:jc w:val="both"/>
      </w:pPr>
      <w:r>
        <w:rPr>
          <w:rFonts w:ascii="Arial" w:hAnsi="Arial" w:cs="Arial"/>
          <w:sz w:val="20"/>
          <w:szCs w:val="20"/>
        </w:rPr>
        <w:t>(a) As imobilizações em curso serão alocadas em grupo específico após a conclusão das obras e efetivo uso, quando passarão a ser depreciadas.</w:t>
      </w:r>
    </w:p>
    <w:p w14:paraId="404AA42B" w14:textId="77777777" w:rsidR="00BA3275" w:rsidRDefault="00000000">
      <w:pPr>
        <w:pStyle w:val="NormalWeb"/>
      </w:pPr>
      <w:r>
        <w:rPr>
          <w:rFonts w:ascii="Arial" w:hAnsi="Arial" w:cs="Arial"/>
          <w:b/>
          <w:bCs/>
          <w:sz w:val="20"/>
          <w:szCs w:val="20"/>
        </w:rPr>
        <w:t>11. Intangível</w:t>
      </w:r>
    </w:p>
    <w:p w14:paraId="0A88CB9C" w14:textId="77777777" w:rsidR="00BA3275" w:rsidRDefault="00000000">
      <w:pPr>
        <w:pStyle w:val="NormalWeb"/>
        <w:jc w:val="both"/>
      </w:pPr>
      <w:r>
        <w:rPr>
          <w:rFonts w:ascii="Arial" w:hAnsi="Arial" w:cs="Arial"/>
          <w:sz w:val="20"/>
          <w:szCs w:val="20"/>
        </w:rPr>
        <w:t>Em 30 de junho de 2025, os montantes do intangível estão assim compostos:</w:t>
      </w:r>
    </w:p>
    <w:tbl>
      <w:tblPr>
        <w:tblW w:w="5000" w:type="pct"/>
        <w:tblCellMar>
          <w:left w:w="0" w:type="dxa"/>
          <w:right w:w="0" w:type="dxa"/>
        </w:tblCellMar>
        <w:tblLook w:val="04A0" w:firstRow="1" w:lastRow="0" w:firstColumn="1" w:lastColumn="0" w:noHBand="0" w:noVBand="1"/>
      </w:tblPr>
      <w:tblGrid>
        <w:gridCol w:w="3380"/>
        <w:gridCol w:w="1923"/>
        <w:gridCol w:w="768"/>
        <w:gridCol w:w="2259"/>
        <w:gridCol w:w="1292"/>
      </w:tblGrid>
      <w:tr w:rsidR="00BA3275" w14:paraId="086C8180" w14:textId="77777777">
        <w:trPr>
          <w:trHeight w:val="150"/>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3CF7C5D0"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4C86FD3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5B0C32C" w14:textId="77777777" w:rsidR="00BA3275"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93C4740" w14:textId="77777777" w:rsidR="00BA3275" w:rsidRDefault="00000000">
            <w:pPr>
              <w:jc w:val="center"/>
              <w:rPr>
                <w:rFonts w:eastAsia="Times New Roman"/>
              </w:rPr>
            </w:pPr>
            <w:r>
              <w:rPr>
                <w:rFonts w:ascii="Arial" w:eastAsia="Times New Roman" w:hAnsi="Arial" w:cs="Arial"/>
                <w:b/>
                <w:bCs/>
                <w:sz w:val="16"/>
                <w:szCs w:val="16"/>
              </w:rPr>
              <w:t>Taxa de Amortização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8863B0B" w14:textId="77777777" w:rsidR="00BA3275" w:rsidRDefault="00000000">
            <w:pPr>
              <w:jc w:val="center"/>
              <w:rPr>
                <w:rFonts w:eastAsia="Times New Roman"/>
              </w:rPr>
            </w:pPr>
            <w:r>
              <w:rPr>
                <w:rFonts w:ascii="Arial" w:eastAsia="Times New Roman" w:hAnsi="Arial" w:cs="Arial"/>
                <w:b/>
                <w:bCs/>
                <w:sz w:val="16"/>
                <w:szCs w:val="16"/>
              </w:rPr>
              <w:t>Custo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093D1D7" w14:textId="77777777" w:rsidR="00BA3275" w:rsidRDefault="00000000">
            <w:pPr>
              <w:jc w:val="center"/>
              <w:rPr>
                <w:rFonts w:eastAsia="Times New Roman"/>
              </w:rPr>
            </w:pPr>
            <w:r>
              <w:rPr>
                <w:rFonts w:ascii="Arial" w:eastAsia="Times New Roman" w:hAnsi="Arial" w:cs="Arial"/>
                <w:b/>
                <w:bCs/>
                <w:sz w:val="16"/>
                <w:szCs w:val="16"/>
              </w:rPr>
              <w:t>Amortização Acumulada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5EB76" w14:textId="77777777" w:rsidR="00BA3275" w:rsidRDefault="00000000">
            <w:pPr>
              <w:jc w:val="center"/>
              <w:rPr>
                <w:rFonts w:eastAsia="Times New Roman"/>
              </w:rPr>
            </w:pPr>
            <w:r>
              <w:rPr>
                <w:rFonts w:ascii="Arial" w:eastAsia="Times New Roman" w:hAnsi="Arial" w:cs="Arial"/>
                <w:b/>
                <w:bCs/>
                <w:sz w:val="16"/>
                <w:szCs w:val="16"/>
              </w:rPr>
              <w:t>Saldo Líquido</w:t>
            </w:r>
          </w:p>
        </w:tc>
      </w:tr>
      <w:tr w:rsidR="00BA3275" w14:paraId="5A8F254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1ACD74E" w14:textId="77777777" w:rsidR="00BA3275" w:rsidRDefault="00000000">
            <w:pPr>
              <w:rPr>
                <w:rFonts w:eastAsia="Times New Roman"/>
              </w:rPr>
            </w:pPr>
            <w:r>
              <w:rPr>
                <w:rFonts w:ascii="Arial" w:eastAsia="Times New Roman" w:hAnsi="Arial" w:cs="Arial"/>
                <w:sz w:val="16"/>
                <w:szCs w:val="16"/>
              </w:rPr>
              <w:t>Sistemas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CCD19C" w14:textId="77777777" w:rsidR="00BA3275" w:rsidRDefault="00000000">
            <w:pPr>
              <w:jc w:val="center"/>
              <w:rPr>
                <w:rFonts w:eastAsia="Times New Roman"/>
              </w:rPr>
            </w:pPr>
            <w:r>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2921454" w14:textId="77777777" w:rsidR="00BA3275" w:rsidRDefault="00000000">
            <w:pPr>
              <w:jc w:val="right"/>
              <w:rPr>
                <w:rFonts w:eastAsia="Times New Roman"/>
              </w:rPr>
            </w:pPr>
            <w:r>
              <w:rPr>
                <w:rFonts w:ascii="Arial" w:eastAsia="Times New Roman" w:hAnsi="Arial" w:cs="Arial"/>
                <w:sz w:val="16"/>
                <w:szCs w:val="16"/>
              </w:rPr>
              <w:t>8.026,20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2BF5F" w14:textId="77777777" w:rsidR="00BA3275" w:rsidRDefault="00000000">
            <w:pPr>
              <w:jc w:val="right"/>
              <w:rPr>
                <w:rFonts w:eastAsia="Times New Roman"/>
              </w:rPr>
            </w:pPr>
            <w:r>
              <w:rPr>
                <w:rFonts w:ascii="Arial" w:eastAsia="Times New Roman" w:hAnsi="Arial" w:cs="Arial"/>
                <w:sz w:val="16"/>
                <w:szCs w:val="16"/>
              </w:rPr>
              <w:t>(4.717,69)</w:t>
            </w:r>
          </w:p>
        </w:tc>
        <w:tc>
          <w:tcPr>
            <w:tcW w:w="0" w:type="auto"/>
            <w:tcBorders>
              <w:top w:val="outset" w:sz="6" w:space="0" w:color="auto"/>
              <w:left w:val="outset" w:sz="6" w:space="0" w:color="auto"/>
              <w:bottom w:val="outset" w:sz="6" w:space="0" w:color="auto"/>
              <w:right w:val="outset" w:sz="6" w:space="0" w:color="auto"/>
            </w:tcBorders>
            <w:vAlign w:val="center"/>
            <w:hideMark/>
          </w:tcPr>
          <w:p w14:paraId="651465B8" w14:textId="77777777" w:rsidR="00BA3275" w:rsidRDefault="00000000">
            <w:pPr>
              <w:jc w:val="right"/>
              <w:rPr>
                <w:rFonts w:eastAsia="Times New Roman"/>
              </w:rPr>
            </w:pPr>
            <w:r>
              <w:rPr>
                <w:rFonts w:ascii="Arial" w:eastAsia="Times New Roman" w:hAnsi="Arial" w:cs="Arial"/>
                <w:sz w:val="16"/>
                <w:szCs w:val="16"/>
              </w:rPr>
              <w:t>3.308,51</w:t>
            </w:r>
          </w:p>
        </w:tc>
      </w:tr>
      <w:tr w:rsidR="00BA3275" w14:paraId="3B05EDF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094E72F" w14:textId="77777777" w:rsidR="00BA3275" w:rsidRDefault="00000000">
            <w:pPr>
              <w:rPr>
                <w:rFonts w:eastAsia="Times New Roman"/>
              </w:rPr>
            </w:pPr>
            <w:r>
              <w:rPr>
                <w:rFonts w:ascii="Arial" w:eastAsia="Times New Roman" w:hAnsi="Arial" w:cs="Arial"/>
                <w:b/>
                <w:bCs/>
                <w:sz w:val="16"/>
                <w:szCs w:val="16"/>
              </w:rPr>
              <w:t>Total Intangível e Ágio</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5D53C" w14:textId="77777777" w:rsidR="00BA3275" w:rsidRDefault="00000000">
            <w:pPr>
              <w:jc w:val="center"/>
              <w:rPr>
                <w:rFonts w:eastAsia="Times New Roman"/>
              </w:rPr>
            </w:pPr>
            <w:r>
              <w:rPr>
                <w:rFonts w:ascii="Arial" w:eastAsia="Times New Roman"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822C7F" w14:textId="77777777" w:rsidR="00BA3275" w:rsidRDefault="00000000">
            <w:pPr>
              <w:jc w:val="right"/>
              <w:rPr>
                <w:rFonts w:eastAsia="Times New Roman"/>
              </w:rPr>
            </w:pPr>
            <w:r>
              <w:rPr>
                <w:rFonts w:ascii="Arial" w:eastAsia="Times New Roman" w:hAnsi="Arial" w:cs="Arial"/>
                <w:b/>
                <w:bCs/>
                <w:sz w:val="16"/>
                <w:szCs w:val="16"/>
              </w:rPr>
              <w:t>8.026,20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6F1EBD7" w14:textId="77777777" w:rsidR="00BA3275" w:rsidRDefault="00000000">
            <w:pPr>
              <w:jc w:val="right"/>
              <w:rPr>
                <w:rFonts w:eastAsia="Times New Roman"/>
              </w:rPr>
            </w:pPr>
            <w:r>
              <w:rPr>
                <w:rFonts w:ascii="Arial" w:eastAsia="Times New Roman" w:hAnsi="Arial" w:cs="Arial"/>
                <w:b/>
                <w:bCs/>
                <w:sz w:val="16"/>
                <w:szCs w:val="16"/>
              </w:rPr>
              <w:t>(4.717,69)</w:t>
            </w:r>
          </w:p>
        </w:tc>
        <w:tc>
          <w:tcPr>
            <w:tcW w:w="0" w:type="auto"/>
            <w:tcBorders>
              <w:top w:val="outset" w:sz="6" w:space="0" w:color="auto"/>
              <w:left w:val="outset" w:sz="6" w:space="0" w:color="auto"/>
              <w:bottom w:val="outset" w:sz="6" w:space="0" w:color="auto"/>
              <w:right w:val="outset" w:sz="6" w:space="0" w:color="auto"/>
            </w:tcBorders>
            <w:vAlign w:val="center"/>
            <w:hideMark/>
          </w:tcPr>
          <w:p w14:paraId="79F15990" w14:textId="77777777" w:rsidR="00BA3275" w:rsidRDefault="00000000">
            <w:pPr>
              <w:jc w:val="right"/>
              <w:rPr>
                <w:rFonts w:eastAsia="Times New Roman"/>
              </w:rPr>
            </w:pPr>
            <w:r>
              <w:rPr>
                <w:rFonts w:ascii="Arial" w:eastAsia="Times New Roman" w:hAnsi="Arial" w:cs="Arial"/>
                <w:b/>
                <w:bCs/>
                <w:sz w:val="16"/>
                <w:szCs w:val="16"/>
              </w:rPr>
              <w:t>3.308,51</w:t>
            </w:r>
          </w:p>
        </w:tc>
      </w:tr>
    </w:tbl>
    <w:p w14:paraId="429B80CE" w14:textId="77777777" w:rsidR="00BA3275" w:rsidRDefault="00000000">
      <w:pPr>
        <w:pStyle w:val="NormalWeb"/>
      </w:pPr>
      <w:r>
        <w:rPr>
          <w:rFonts w:ascii="Arial" w:hAnsi="Arial" w:cs="Arial"/>
          <w:b/>
          <w:bCs/>
          <w:sz w:val="20"/>
          <w:szCs w:val="20"/>
        </w:rPr>
        <w:t>12. Instrumentos Financeiros</w:t>
      </w:r>
    </w:p>
    <w:p w14:paraId="62A93B12" w14:textId="77777777" w:rsidR="00BA3275" w:rsidRDefault="00000000">
      <w:pPr>
        <w:pStyle w:val="NormalWeb"/>
      </w:pPr>
      <w:r>
        <w:rPr>
          <w:rFonts w:ascii="Arial" w:hAnsi="Arial" w:cs="Arial"/>
          <w:b/>
          <w:bCs/>
          <w:sz w:val="20"/>
          <w:szCs w:val="20"/>
        </w:rPr>
        <w:t>12.1 Passivos Financeiros Mensurados ao Custo Amortizado</w:t>
      </w:r>
    </w:p>
    <w:p w14:paraId="114C1262" w14:textId="77777777" w:rsidR="00BA3275" w:rsidRDefault="00000000">
      <w:pPr>
        <w:pStyle w:val="NormalWeb"/>
      </w:pPr>
      <w:r>
        <w:rPr>
          <w:rFonts w:ascii="Arial" w:hAnsi="Arial" w:cs="Arial"/>
          <w:b/>
          <w:bCs/>
          <w:sz w:val="20"/>
          <w:szCs w:val="20"/>
        </w:rPr>
        <w:t xml:space="preserve">12.2 Depósitos </w:t>
      </w:r>
    </w:p>
    <w:p w14:paraId="2E6A0235" w14:textId="77777777" w:rsidR="00BA3275" w:rsidRDefault="00000000">
      <w:pPr>
        <w:pStyle w:val="NormalWeb"/>
        <w:jc w:val="both"/>
      </w:pPr>
      <w:r>
        <w:rPr>
          <w:rFonts w:ascii="Arial" w:hAnsi="Arial" w:cs="Arial"/>
          <w:sz w:val="20"/>
          <w:szCs w:val="20"/>
        </w:rPr>
        <w:t>Em 30 de junho de 2025, os depósitos estão assim compostos:</w:t>
      </w:r>
    </w:p>
    <w:tbl>
      <w:tblPr>
        <w:tblW w:w="5000" w:type="pct"/>
        <w:tblCellMar>
          <w:left w:w="0" w:type="dxa"/>
          <w:right w:w="0" w:type="dxa"/>
        </w:tblCellMar>
        <w:tblLook w:val="04A0" w:firstRow="1" w:lastRow="0" w:firstColumn="1" w:lastColumn="0" w:noHBand="0" w:noVBand="1"/>
      </w:tblPr>
      <w:tblGrid>
        <w:gridCol w:w="3031"/>
        <w:gridCol w:w="2186"/>
        <w:gridCol w:w="2219"/>
        <w:gridCol w:w="2186"/>
      </w:tblGrid>
      <w:tr w:rsidR="00BA3275" w14:paraId="7902D62B"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3E38578" w14:textId="77777777" w:rsidR="00BA3275" w:rsidRDefault="00000000">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A841ABF"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1E8D9B16"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DF2614" w14:textId="77777777" w:rsidR="00BA3275" w:rsidRDefault="00BA327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C4D437" w14:textId="77777777" w:rsidR="00BA3275"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50DFAB3" w14:textId="77777777" w:rsidR="00BA3275"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579220" w14:textId="77777777" w:rsidR="00BA3275" w:rsidRDefault="00000000">
            <w:pPr>
              <w:jc w:val="center"/>
              <w:rPr>
                <w:rFonts w:eastAsia="Times New Roman"/>
              </w:rPr>
            </w:pPr>
            <w:r>
              <w:rPr>
                <w:rFonts w:ascii="Arial" w:eastAsia="Times New Roman" w:hAnsi="Arial" w:cs="Arial"/>
                <w:b/>
                <w:bCs/>
                <w:sz w:val="16"/>
                <w:szCs w:val="16"/>
              </w:rPr>
              <w:t>Total</w:t>
            </w:r>
          </w:p>
        </w:tc>
      </w:tr>
      <w:tr w:rsidR="00BA3275" w14:paraId="409DB39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9835D14" w14:textId="77777777" w:rsidR="00BA3275" w:rsidRDefault="00000000">
            <w:pPr>
              <w:rPr>
                <w:rFonts w:eastAsia="Times New Roman"/>
              </w:rPr>
            </w:pPr>
            <w:r>
              <w:rPr>
                <w:rFonts w:ascii="Arial" w:eastAsia="Times New Roman" w:hAnsi="Arial" w:cs="Arial"/>
                <w:b/>
                <w:bCs/>
                <w:sz w:val="16"/>
                <w:szCs w:val="16"/>
              </w:rPr>
              <w:t>Custo Amortizado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7F96AA0B" w14:textId="77777777" w:rsidR="00BA3275" w:rsidRDefault="00000000" w:rsidP="00370A97">
            <w:pPr>
              <w:jc w:val="right"/>
              <w:rPr>
                <w:rFonts w:eastAsia="Times New Roman"/>
              </w:rPr>
            </w:pPr>
            <w:r>
              <w:rPr>
                <w:rFonts w:ascii="Arial" w:eastAsia="Times New Roman"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669C5" w14:textId="77777777" w:rsidR="00BA3275" w:rsidRDefault="00000000" w:rsidP="00370A97">
            <w:pPr>
              <w:jc w:val="right"/>
              <w:rPr>
                <w:rFonts w:eastAsia="Times New Roman"/>
              </w:rPr>
            </w:pPr>
            <w:r>
              <w:rPr>
                <w:rFonts w:ascii="Arial" w:eastAsia="Times New Roman"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149B7B" w14:textId="77777777" w:rsidR="00BA3275" w:rsidRDefault="00000000">
            <w:pPr>
              <w:jc w:val="right"/>
              <w:rPr>
                <w:rFonts w:eastAsia="Times New Roman"/>
              </w:rPr>
            </w:pPr>
            <w:r>
              <w:rPr>
                <w:rFonts w:ascii="Arial" w:eastAsia="Times New Roman" w:hAnsi="Arial" w:cs="Arial"/>
                <w:b/>
                <w:bCs/>
                <w:sz w:val="16"/>
                <w:szCs w:val="16"/>
              </w:rPr>
              <w:t> </w:t>
            </w:r>
          </w:p>
        </w:tc>
      </w:tr>
      <w:tr w:rsidR="00BA3275" w14:paraId="7B67A5F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D00B0DA" w14:textId="4B77F156" w:rsidR="00BA3275" w:rsidRDefault="00000000">
            <w:pPr>
              <w:rPr>
                <w:rFonts w:eastAsia="Times New Roman"/>
              </w:rPr>
            </w:pPr>
            <w:r>
              <w:rPr>
                <w:rFonts w:ascii="Arial" w:eastAsia="Times New Roman" w:hAnsi="Arial" w:cs="Arial"/>
                <w:sz w:val="16"/>
                <w:szCs w:val="16"/>
              </w:rPr>
              <w:t>Depósitos à Vista</w:t>
            </w:r>
            <w:r w:rsidR="00370A97">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1E8D9016" w14:textId="77777777" w:rsidR="00BA3275" w:rsidRDefault="00000000" w:rsidP="00370A97">
            <w:pPr>
              <w:jc w:val="right"/>
              <w:rPr>
                <w:rFonts w:eastAsia="Times New Roman"/>
              </w:rPr>
            </w:pPr>
            <w:r>
              <w:rPr>
                <w:rFonts w:ascii="Arial" w:eastAsia="Times New Roman" w:hAnsi="Arial" w:cs="Arial"/>
                <w:sz w:val="16"/>
                <w:szCs w:val="16"/>
              </w:rPr>
              <w:t>152.332.634,79</w:t>
            </w:r>
          </w:p>
        </w:tc>
        <w:tc>
          <w:tcPr>
            <w:tcW w:w="0" w:type="auto"/>
            <w:tcBorders>
              <w:top w:val="outset" w:sz="6" w:space="0" w:color="auto"/>
              <w:left w:val="outset" w:sz="6" w:space="0" w:color="auto"/>
              <w:bottom w:val="outset" w:sz="6" w:space="0" w:color="auto"/>
              <w:right w:val="outset" w:sz="6" w:space="0" w:color="auto"/>
            </w:tcBorders>
            <w:vAlign w:val="center"/>
            <w:hideMark/>
          </w:tcPr>
          <w:p w14:paraId="37DD5D41" w14:textId="77777777" w:rsidR="00BA3275" w:rsidRDefault="00000000" w:rsidP="00370A97">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24F6878" w14:textId="77777777" w:rsidR="00BA3275" w:rsidRDefault="00000000">
            <w:pPr>
              <w:jc w:val="right"/>
              <w:rPr>
                <w:rFonts w:eastAsia="Times New Roman"/>
              </w:rPr>
            </w:pPr>
            <w:r>
              <w:rPr>
                <w:rFonts w:ascii="Arial" w:eastAsia="Times New Roman" w:hAnsi="Arial" w:cs="Arial"/>
                <w:sz w:val="16"/>
                <w:szCs w:val="16"/>
              </w:rPr>
              <w:t>152.332.634,79</w:t>
            </w:r>
          </w:p>
        </w:tc>
      </w:tr>
      <w:tr w:rsidR="00BA3275" w14:paraId="21E7C3D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2572E41" w14:textId="0F59CAA4" w:rsidR="00BA3275" w:rsidRDefault="00000000">
            <w:pPr>
              <w:rPr>
                <w:rFonts w:eastAsia="Times New Roman"/>
              </w:rPr>
            </w:pPr>
            <w:r>
              <w:rPr>
                <w:rFonts w:ascii="Arial" w:eastAsia="Times New Roman" w:hAnsi="Arial" w:cs="Arial"/>
                <w:sz w:val="16"/>
                <w:szCs w:val="16"/>
              </w:rPr>
              <w:t>Depósitos a Prazo</w:t>
            </w:r>
            <w:r w:rsidR="00370A97">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7596438F" w14:textId="77777777" w:rsidR="00BA3275" w:rsidRDefault="00000000" w:rsidP="00370A97">
            <w:pPr>
              <w:jc w:val="right"/>
              <w:rPr>
                <w:rFonts w:eastAsia="Times New Roman"/>
              </w:rPr>
            </w:pPr>
            <w:r>
              <w:rPr>
                <w:rFonts w:ascii="Arial" w:eastAsia="Times New Roman" w:hAnsi="Arial" w:cs="Arial"/>
                <w:sz w:val="16"/>
                <w:szCs w:val="16"/>
              </w:rPr>
              <w:t>426.153.107,16</w:t>
            </w:r>
          </w:p>
        </w:tc>
        <w:tc>
          <w:tcPr>
            <w:tcW w:w="0" w:type="auto"/>
            <w:tcBorders>
              <w:top w:val="outset" w:sz="6" w:space="0" w:color="auto"/>
              <w:left w:val="outset" w:sz="6" w:space="0" w:color="auto"/>
              <w:bottom w:val="outset" w:sz="6" w:space="0" w:color="auto"/>
              <w:right w:val="outset" w:sz="6" w:space="0" w:color="auto"/>
            </w:tcBorders>
            <w:vAlign w:val="center"/>
            <w:hideMark/>
          </w:tcPr>
          <w:p w14:paraId="20AABDE3" w14:textId="77777777" w:rsidR="00BA3275" w:rsidRDefault="00000000" w:rsidP="00370A97">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36789" w14:textId="77777777" w:rsidR="00BA3275" w:rsidRDefault="00000000">
            <w:pPr>
              <w:jc w:val="right"/>
              <w:rPr>
                <w:rFonts w:eastAsia="Times New Roman"/>
              </w:rPr>
            </w:pPr>
            <w:r>
              <w:rPr>
                <w:rFonts w:ascii="Arial" w:eastAsia="Times New Roman" w:hAnsi="Arial" w:cs="Arial"/>
                <w:sz w:val="16"/>
                <w:szCs w:val="16"/>
              </w:rPr>
              <w:t>426.153.107,16</w:t>
            </w:r>
          </w:p>
        </w:tc>
      </w:tr>
      <w:tr w:rsidR="00BA3275" w14:paraId="12825D6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350FD79" w14:textId="77777777" w:rsidR="00BA3275"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518FA26" w14:textId="77777777" w:rsidR="00BA3275" w:rsidRDefault="00000000" w:rsidP="00370A97">
            <w:pPr>
              <w:jc w:val="right"/>
              <w:rPr>
                <w:rFonts w:eastAsia="Times New Roman"/>
              </w:rPr>
            </w:pPr>
            <w:r>
              <w:rPr>
                <w:rFonts w:ascii="Arial" w:eastAsia="Times New Roman" w:hAnsi="Arial" w:cs="Arial"/>
                <w:b/>
                <w:bCs/>
                <w:sz w:val="16"/>
                <w:szCs w:val="16"/>
              </w:rPr>
              <w:t>578.485.741,95</w:t>
            </w:r>
          </w:p>
        </w:tc>
        <w:tc>
          <w:tcPr>
            <w:tcW w:w="0" w:type="auto"/>
            <w:tcBorders>
              <w:top w:val="outset" w:sz="6" w:space="0" w:color="auto"/>
              <w:left w:val="outset" w:sz="6" w:space="0" w:color="auto"/>
              <w:bottom w:val="outset" w:sz="6" w:space="0" w:color="auto"/>
              <w:right w:val="outset" w:sz="6" w:space="0" w:color="auto"/>
            </w:tcBorders>
            <w:vAlign w:val="center"/>
            <w:hideMark/>
          </w:tcPr>
          <w:p w14:paraId="0A4172ED" w14:textId="77777777" w:rsidR="00BA3275" w:rsidRDefault="00000000" w:rsidP="00370A97">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BE2AFE3" w14:textId="77777777" w:rsidR="00BA3275" w:rsidRDefault="00000000">
            <w:pPr>
              <w:jc w:val="right"/>
              <w:rPr>
                <w:rFonts w:eastAsia="Times New Roman"/>
              </w:rPr>
            </w:pPr>
            <w:r>
              <w:rPr>
                <w:rFonts w:ascii="Arial" w:eastAsia="Times New Roman" w:hAnsi="Arial" w:cs="Arial"/>
                <w:b/>
                <w:bCs/>
                <w:sz w:val="16"/>
                <w:szCs w:val="16"/>
              </w:rPr>
              <w:t>578.485.741,95</w:t>
            </w:r>
          </w:p>
        </w:tc>
      </w:tr>
    </w:tbl>
    <w:p w14:paraId="25EE1234" w14:textId="77777777" w:rsidR="00BA3275" w:rsidRDefault="00000000">
      <w:pPr>
        <w:pStyle w:val="NormalWeb"/>
        <w:jc w:val="both"/>
      </w:pPr>
      <w:r>
        <w:rPr>
          <w:rFonts w:ascii="Arial" w:hAnsi="Arial" w:cs="Arial"/>
          <w:sz w:val="20"/>
          <w:szCs w:val="20"/>
        </w:rPr>
        <w:t>a) Valores cuja disponibilidade é imediata aos associados, ficando a critério do portador dos recursos fazê-lo conforme sua necessidade.</w:t>
      </w:r>
    </w:p>
    <w:p w14:paraId="393D0C30" w14:textId="77777777" w:rsidR="00BA3275" w:rsidRDefault="00000000">
      <w:pPr>
        <w:pStyle w:val="NormalWeb"/>
        <w:jc w:val="both"/>
      </w:pPr>
      <w:r>
        <w:rPr>
          <w:rFonts w:ascii="Arial" w:hAnsi="Arial" w:cs="Arial"/>
          <w:sz w:val="20"/>
          <w:szCs w:val="20"/>
        </w:rPr>
        <w:t>b) Valores pactuados para disponibilidade em prazos pré-estabelecidos, os quais recebem atualizações por encargos financeiros remuneratórios conforme a sua contratação em pós ou pré-fixada. Suas remunerações pós-fixadas são calculadas com base no critério de “pro rata temporis”; as remunerações pré-fixadas são calculadas e registradas pelo valor futuro, com base no prazo final das operações, ajustadas, na data da demonstração financeiras, pelas despesas a apropriar registradas em conta redutora de depósitos a prazo.</w:t>
      </w:r>
    </w:p>
    <w:p w14:paraId="76096939" w14:textId="77777777" w:rsidR="00BA3275" w:rsidRDefault="00000000">
      <w:pPr>
        <w:pStyle w:val="NormalWeb"/>
        <w:jc w:val="both"/>
      </w:pPr>
      <w:r>
        <w:rPr>
          <w:rFonts w:ascii="Arial" w:hAnsi="Arial" w:cs="Arial"/>
          <w:sz w:val="20"/>
          <w:szCs w:val="20"/>
        </w:rPr>
        <w:t>Os depósitos mantidos na Cooperativa estão garantidos, até o limite de R$ 250.000,00 por CPF ou CNPJ – com exceção de contas conjuntas, que têm seu valor dividido pelo número de titulares – pelo Fundo Garantidor do Cooperativismo de Crédito (FGCoop), que é uma reserva financeira constituída pelas Cooperativas de Crédito, regida pelo Banco Central do Brasil, conforme a determinação da Resolução CMN nº 4.933/2021. O registro do FGCoop, como regulamentado, passa a ser feito em “Dispêndios de captação no mercado”.</w:t>
      </w:r>
    </w:p>
    <w:p w14:paraId="62169D1A" w14:textId="77777777" w:rsidR="00BA3275" w:rsidRDefault="00000000">
      <w:pPr>
        <w:pStyle w:val="NormalWeb"/>
      </w:pPr>
      <w:r>
        <w:rPr>
          <w:rFonts w:ascii="Arial" w:hAnsi="Arial" w:cs="Arial"/>
          <w:b/>
          <w:bCs/>
          <w:sz w:val="20"/>
          <w:szCs w:val="20"/>
        </w:rPr>
        <w:t xml:space="preserve">12.3 Concentração dos Principais Depositantes: </w:t>
      </w:r>
    </w:p>
    <w:tbl>
      <w:tblPr>
        <w:tblW w:w="5000" w:type="pct"/>
        <w:tblCellMar>
          <w:left w:w="0" w:type="dxa"/>
          <w:right w:w="0" w:type="dxa"/>
        </w:tblCellMar>
        <w:tblLook w:val="04A0" w:firstRow="1" w:lastRow="0" w:firstColumn="1" w:lastColumn="0" w:noHBand="0" w:noVBand="1"/>
      </w:tblPr>
      <w:tblGrid>
        <w:gridCol w:w="4153"/>
        <w:gridCol w:w="2625"/>
        <w:gridCol w:w="2844"/>
      </w:tblGrid>
      <w:tr w:rsidR="00BA3275" w14:paraId="1F8D814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895CFC8" w14:textId="77777777" w:rsidR="00BA3275"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650DD42" w14:textId="77777777" w:rsidR="00BA3275" w:rsidRDefault="00000000">
            <w:pPr>
              <w:jc w:val="center"/>
              <w:rPr>
                <w:rFonts w:eastAsia="Times New Roman"/>
              </w:rPr>
            </w:pPr>
            <w:r>
              <w:rPr>
                <w:rFonts w:ascii="Arial" w:eastAsia="Times New Roman" w:hAnsi="Arial" w:cs="Arial"/>
                <w:b/>
                <w:bCs/>
                <w:sz w:val="16"/>
                <w:szCs w:val="16"/>
              </w:rPr>
              <w:t>30/06/2025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27451042" w14:textId="77777777" w:rsidR="00BA3275" w:rsidRDefault="00000000">
            <w:pPr>
              <w:jc w:val="center"/>
              <w:rPr>
                <w:rFonts w:eastAsia="Times New Roman"/>
              </w:rPr>
            </w:pPr>
            <w:r>
              <w:rPr>
                <w:rFonts w:ascii="Arial" w:eastAsia="Times New Roman" w:hAnsi="Arial" w:cs="Arial"/>
                <w:b/>
                <w:bCs/>
                <w:sz w:val="16"/>
                <w:szCs w:val="16"/>
              </w:rPr>
              <w:t>% Carteira Total</w:t>
            </w:r>
          </w:p>
        </w:tc>
      </w:tr>
      <w:tr w:rsidR="00BA3275" w14:paraId="3EA7AEB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2A65233" w14:textId="77777777" w:rsidR="00BA3275" w:rsidRDefault="00000000">
            <w:pPr>
              <w:rPr>
                <w:rFonts w:eastAsia="Times New Roman"/>
              </w:rPr>
            </w:pPr>
            <w:r>
              <w:rPr>
                <w:rFonts w:ascii="Arial" w:eastAsia="Times New Roman" w:hAnsi="Arial" w:cs="Arial"/>
                <w:sz w:val="16"/>
                <w:szCs w:val="16"/>
              </w:rPr>
              <w:t>Maior Depositante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1AC1F3C" w14:textId="77777777" w:rsidR="00BA3275" w:rsidRDefault="00000000">
            <w:pPr>
              <w:jc w:val="right"/>
              <w:rPr>
                <w:rFonts w:eastAsia="Times New Roman"/>
              </w:rPr>
            </w:pPr>
            <w:r>
              <w:rPr>
                <w:rFonts w:ascii="Arial" w:eastAsia="Times New Roman" w:hAnsi="Arial" w:cs="Arial"/>
                <w:sz w:val="16"/>
                <w:szCs w:val="16"/>
              </w:rPr>
              <w:t>22.464.798,70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6F6D3" w14:textId="77777777" w:rsidR="00BA3275" w:rsidRDefault="00000000">
            <w:pPr>
              <w:jc w:val="right"/>
              <w:rPr>
                <w:rFonts w:eastAsia="Times New Roman"/>
              </w:rPr>
            </w:pPr>
            <w:r>
              <w:rPr>
                <w:rFonts w:ascii="Arial" w:eastAsia="Times New Roman" w:hAnsi="Arial" w:cs="Arial"/>
                <w:sz w:val="16"/>
                <w:szCs w:val="16"/>
              </w:rPr>
              <w:t>3,38%</w:t>
            </w:r>
          </w:p>
        </w:tc>
      </w:tr>
      <w:tr w:rsidR="00BA3275" w14:paraId="6DC864A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1E6161E" w14:textId="77777777" w:rsidR="00BA3275" w:rsidRDefault="00000000">
            <w:pPr>
              <w:rPr>
                <w:rFonts w:eastAsia="Times New Roman"/>
              </w:rPr>
            </w:pPr>
            <w:r>
              <w:rPr>
                <w:rFonts w:ascii="Arial" w:eastAsia="Times New Roman" w:hAnsi="Arial" w:cs="Arial"/>
                <w:sz w:val="16"/>
                <w:szCs w:val="16"/>
              </w:rPr>
              <w:t>10 Maiores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2EB57DD" w14:textId="77777777" w:rsidR="00BA3275" w:rsidRDefault="00000000">
            <w:pPr>
              <w:jc w:val="right"/>
              <w:rPr>
                <w:rFonts w:eastAsia="Times New Roman"/>
              </w:rPr>
            </w:pPr>
            <w:r>
              <w:rPr>
                <w:rFonts w:ascii="Arial" w:eastAsia="Times New Roman" w:hAnsi="Arial" w:cs="Arial"/>
                <w:sz w:val="16"/>
                <w:szCs w:val="16"/>
              </w:rPr>
              <w:t>144.715.518,71</w:t>
            </w:r>
          </w:p>
        </w:tc>
        <w:tc>
          <w:tcPr>
            <w:tcW w:w="0" w:type="auto"/>
            <w:tcBorders>
              <w:top w:val="outset" w:sz="6" w:space="0" w:color="auto"/>
              <w:left w:val="outset" w:sz="6" w:space="0" w:color="auto"/>
              <w:bottom w:val="outset" w:sz="6" w:space="0" w:color="auto"/>
              <w:right w:val="outset" w:sz="6" w:space="0" w:color="auto"/>
            </w:tcBorders>
            <w:vAlign w:val="center"/>
            <w:hideMark/>
          </w:tcPr>
          <w:p w14:paraId="09968065" w14:textId="4ED73EFC" w:rsidR="00BA3275" w:rsidRDefault="00000000">
            <w:pPr>
              <w:jc w:val="right"/>
              <w:rPr>
                <w:rFonts w:eastAsia="Times New Roman"/>
              </w:rPr>
            </w:pPr>
            <w:r>
              <w:rPr>
                <w:rFonts w:ascii="Arial" w:eastAsia="Times New Roman" w:hAnsi="Arial" w:cs="Arial"/>
                <w:sz w:val="16"/>
                <w:szCs w:val="16"/>
              </w:rPr>
              <w:t>21,7</w:t>
            </w:r>
            <w:r w:rsidR="00370A97">
              <w:rPr>
                <w:rFonts w:ascii="Arial" w:eastAsia="Times New Roman" w:hAnsi="Arial" w:cs="Arial"/>
                <w:sz w:val="16"/>
                <w:szCs w:val="16"/>
              </w:rPr>
              <w:t>8</w:t>
            </w:r>
            <w:r>
              <w:rPr>
                <w:rFonts w:ascii="Arial" w:eastAsia="Times New Roman" w:hAnsi="Arial" w:cs="Arial"/>
                <w:sz w:val="16"/>
                <w:szCs w:val="16"/>
              </w:rPr>
              <w:t>%</w:t>
            </w:r>
          </w:p>
        </w:tc>
      </w:tr>
      <w:tr w:rsidR="00BA3275" w14:paraId="2BF6BCE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BC94855" w14:textId="77777777" w:rsidR="00BA3275" w:rsidRDefault="00000000">
            <w:pPr>
              <w:rPr>
                <w:rFonts w:eastAsia="Times New Roman"/>
              </w:rPr>
            </w:pPr>
            <w:r>
              <w:rPr>
                <w:rFonts w:ascii="Arial" w:eastAsia="Times New Roman" w:hAnsi="Arial" w:cs="Arial"/>
                <w:sz w:val="16"/>
                <w:szCs w:val="16"/>
              </w:rPr>
              <w:t>50 Maiores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3E8C89C" w14:textId="77777777" w:rsidR="00BA3275" w:rsidRDefault="00000000">
            <w:pPr>
              <w:jc w:val="right"/>
              <w:rPr>
                <w:rFonts w:eastAsia="Times New Roman"/>
              </w:rPr>
            </w:pPr>
            <w:r>
              <w:rPr>
                <w:rFonts w:ascii="Arial" w:eastAsia="Times New Roman" w:hAnsi="Arial" w:cs="Arial"/>
                <w:sz w:val="16"/>
                <w:szCs w:val="16"/>
              </w:rPr>
              <w:t>302.541.163,36</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4D973" w14:textId="77777777" w:rsidR="00BA3275" w:rsidRDefault="00000000">
            <w:pPr>
              <w:jc w:val="right"/>
              <w:rPr>
                <w:rFonts w:eastAsia="Times New Roman"/>
              </w:rPr>
            </w:pPr>
            <w:r>
              <w:rPr>
                <w:rFonts w:ascii="Arial" w:eastAsia="Times New Roman" w:hAnsi="Arial" w:cs="Arial"/>
                <w:sz w:val="16"/>
                <w:szCs w:val="16"/>
              </w:rPr>
              <w:t>45,52%</w:t>
            </w:r>
          </w:p>
        </w:tc>
      </w:tr>
    </w:tbl>
    <w:p w14:paraId="040317A1" w14:textId="77777777" w:rsidR="00BA3275" w:rsidRDefault="00000000">
      <w:pPr>
        <w:pStyle w:val="NormalWeb"/>
        <w:jc w:val="both"/>
      </w:pPr>
      <w:r>
        <w:rPr>
          <w:rFonts w:ascii="Arial" w:hAnsi="Arial" w:cs="Arial"/>
          <w:sz w:val="20"/>
          <w:szCs w:val="20"/>
        </w:rPr>
        <w:lastRenderedPageBreak/>
        <w:t>Compõe o saldo da concentração de depositantes os valores captados através de Depósitos, Conta Benefício do INSS, Conta Salário, Ordens de Pagamento e Recursos de Aceite e Emissão de Títulos. Os depósitos a prazo são considerados líquidos de impostos.</w:t>
      </w:r>
    </w:p>
    <w:p w14:paraId="05AE2501" w14:textId="77777777" w:rsidR="00BA3275" w:rsidRDefault="00000000">
      <w:pPr>
        <w:pStyle w:val="NormalWeb"/>
      </w:pPr>
      <w:r>
        <w:rPr>
          <w:rFonts w:ascii="Arial" w:hAnsi="Arial" w:cs="Arial"/>
          <w:b/>
          <w:bCs/>
          <w:sz w:val="20"/>
          <w:szCs w:val="20"/>
        </w:rPr>
        <w:t>12.4 Despesas com Operações de Captação de Mercado</w:t>
      </w:r>
    </w:p>
    <w:tbl>
      <w:tblPr>
        <w:tblW w:w="5000" w:type="pct"/>
        <w:tblCellMar>
          <w:left w:w="0" w:type="dxa"/>
          <w:right w:w="0" w:type="dxa"/>
        </w:tblCellMar>
        <w:tblLook w:val="04A0" w:firstRow="1" w:lastRow="0" w:firstColumn="1" w:lastColumn="0" w:noHBand="0" w:noVBand="1"/>
      </w:tblPr>
      <w:tblGrid>
        <w:gridCol w:w="7590"/>
        <w:gridCol w:w="2032"/>
      </w:tblGrid>
      <w:tr w:rsidR="00BA3275" w14:paraId="1A34737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4CE3C9B" w14:textId="77777777" w:rsidR="00BA3275"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6F7C459"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76CFE3B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93E2359" w14:textId="77777777" w:rsidR="00BA3275" w:rsidRDefault="00000000">
            <w:pPr>
              <w:rPr>
                <w:rFonts w:eastAsia="Times New Roman"/>
              </w:rPr>
            </w:pPr>
            <w:r>
              <w:rPr>
                <w:rFonts w:ascii="Arial" w:eastAsia="Times New Roman" w:hAnsi="Arial" w:cs="Arial"/>
                <w:sz w:val="16"/>
                <w:szCs w:val="16"/>
              </w:rPr>
              <w:t>Despesas de Depósitos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0FDEF0FD" w14:textId="77777777" w:rsidR="00BA3275" w:rsidRDefault="00000000">
            <w:pPr>
              <w:jc w:val="right"/>
              <w:rPr>
                <w:rFonts w:eastAsia="Times New Roman"/>
              </w:rPr>
            </w:pPr>
            <w:r>
              <w:rPr>
                <w:rFonts w:ascii="Arial" w:eastAsia="Times New Roman" w:hAnsi="Arial" w:cs="Arial"/>
                <w:sz w:val="16"/>
                <w:szCs w:val="16"/>
              </w:rPr>
              <w:t>(25.393.790,50)</w:t>
            </w:r>
          </w:p>
        </w:tc>
      </w:tr>
      <w:tr w:rsidR="00BA3275" w14:paraId="441FF2F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05FBA1A" w14:textId="77777777" w:rsidR="00BA3275" w:rsidRDefault="00000000">
            <w:pPr>
              <w:rPr>
                <w:rFonts w:eastAsia="Times New Roman"/>
              </w:rPr>
            </w:pPr>
            <w:r>
              <w:rPr>
                <w:rFonts w:ascii="Arial" w:eastAsia="Times New Roman" w:hAnsi="Arial" w:cs="Arial"/>
                <w:sz w:val="16"/>
                <w:szCs w:val="16"/>
              </w:rPr>
              <w:t>Despesas de Letras de Crédito do Agronegócio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13732A06" w14:textId="77777777" w:rsidR="00BA3275" w:rsidRDefault="00000000">
            <w:pPr>
              <w:jc w:val="right"/>
              <w:rPr>
                <w:rFonts w:eastAsia="Times New Roman"/>
              </w:rPr>
            </w:pPr>
            <w:r>
              <w:rPr>
                <w:rFonts w:ascii="Arial" w:eastAsia="Times New Roman" w:hAnsi="Arial" w:cs="Arial"/>
                <w:sz w:val="16"/>
                <w:szCs w:val="16"/>
              </w:rPr>
              <w:t>(5.135.256,83)</w:t>
            </w:r>
          </w:p>
        </w:tc>
      </w:tr>
      <w:tr w:rsidR="00BA3275" w14:paraId="7B9534F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8B8857C" w14:textId="77777777" w:rsidR="00BA3275" w:rsidRDefault="00000000">
            <w:pPr>
              <w:rPr>
                <w:rFonts w:eastAsia="Times New Roman"/>
              </w:rPr>
            </w:pPr>
            <w:r>
              <w:rPr>
                <w:rFonts w:ascii="Arial" w:eastAsia="Times New Roman" w:hAnsi="Arial" w:cs="Arial"/>
                <w:sz w:val="16"/>
                <w:szCs w:val="16"/>
              </w:rPr>
              <w:t>Despesas de Letras de Crédito do Imobiliário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5AFC6" w14:textId="77777777" w:rsidR="00BA3275" w:rsidRDefault="00000000">
            <w:pPr>
              <w:jc w:val="right"/>
              <w:rPr>
                <w:rFonts w:eastAsia="Times New Roman"/>
              </w:rPr>
            </w:pPr>
            <w:r>
              <w:rPr>
                <w:rFonts w:ascii="Arial" w:eastAsia="Times New Roman" w:hAnsi="Arial" w:cs="Arial"/>
                <w:sz w:val="16"/>
                <w:szCs w:val="16"/>
              </w:rPr>
              <w:t>(14.430,63)</w:t>
            </w:r>
          </w:p>
        </w:tc>
      </w:tr>
      <w:tr w:rsidR="00BA3275" w14:paraId="282EB57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61CDEB0" w14:textId="77777777" w:rsidR="00BA3275" w:rsidRDefault="00000000">
            <w:pPr>
              <w:rPr>
                <w:rFonts w:eastAsia="Times New Roman"/>
              </w:rPr>
            </w:pPr>
            <w:r>
              <w:rPr>
                <w:rFonts w:ascii="Arial" w:eastAsia="Times New Roman" w:hAnsi="Arial" w:cs="Arial"/>
                <w:sz w:val="16"/>
                <w:szCs w:val="16"/>
              </w:rPr>
              <w:t>Despesas de Contribuição ao Fundo Garantidor de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C97D763" w14:textId="77777777" w:rsidR="00BA3275" w:rsidRDefault="00000000">
            <w:pPr>
              <w:jc w:val="right"/>
              <w:rPr>
                <w:rFonts w:eastAsia="Times New Roman"/>
              </w:rPr>
            </w:pPr>
            <w:r>
              <w:rPr>
                <w:rFonts w:ascii="Arial" w:eastAsia="Times New Roman" w:hAnsi="Arial" w:cs="Arial"/>
                <w:sz w:val="16"/>
                <w:szCs w:val="16"/>
              </w:rPr>
              <w:t>(496.726,66)</w:t>
            </w:r>
          </w:p>
        </w:tc>
      </w:tr>
      <w:tr w:rsidR="00BA3275" w14:paraId="515CD7D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2F3D75E" w14:textId="77777777" w:rsidR="00BA3275"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F99FBC6" w14:textId="77777777" w:rsidR="00BA3275" w:rsidRDefault="00000000">
            <w:pPr>
              <w:jc w:val="right"/>
              <w:rPr>
                <w:rFonts w:eastAsia="Times New Roman"/>
              </w:rPr>
            </w:pPr>
            <w:r>
              <w:rPr>
                <w:rFonts w:ascii="Arial" w:eastAsia="Times New Roman" w:hAnsi="Arial" w:cs="Arial"/>
                <w:b/>
                <w:bCs/>
                <w:sz w:val="16"/>
                <w:szCs w:val="16"/>
              </w:rPr>
              <w:t>(31.040.204,62)</w:t>
            </w:r>
          </w:p>
        </w:tc>
      </w:tr>
    </w:tbl>
    <w:p w14:paraId="79CB613F" w14:textId="77777777" w:rsidR="00BA3275" w:rsidRDefault="00000000">
      <w:pPr>
        <w:pStyle w:val="NormalWeb"/>
      </w:pPr>
      <w:r>
        <w:rPr>
          <w:rFonts w:ascii="Arial" w:hAnsi="Arial" w:cs="Arial"/>
          <w:b/>
          <w:bCs/>
          <w:sz w:val="20"/>
          <w:szCs w:val="20"/>
        </w:rPr>
        <w:t xml:space="preserve">13. Recursos de Aceite e Emissão de Títulos </w:t>
      </w:r>
    </w:p>
    <w:p w14:paraId="0A5EB463" w14:textId="77777777" w:rsidR="00BA3275" w:rsidRDefault="00000000">
      <w:pPr>
        <w:pStyle w:val="NormalWeb"/>
      </w:pPr>
      <w:r>
        <w:rPr>
          <w:rFonts w:ascii="Arial" w:hAnsi="Arial" w:cs="Arial"/>
          <w:b/>
          <w:bCs/>
          <w:sz w:val="20"/>
          <w:szCs w:val="20"/>
        </w:rPr>
        <w:t>13.1 Recursos de Letras Imobiliárias, Hipotecárias, Crédito Imobiliário e Similares</w:t>
      </w:r>
    </w:p>
    <w:p w14:paraId="6E3AEF3D" w14:textId="77777777" w:rsidR="00BA3275" w:rsidRDefault="00000000">
      <w:pPr>
        <w:pStyle w:val="NormalWeb"/>
        <w:jc w:val="both"/>
      </w:pPr>
      <w:r>
        <w:rPr>
          <w:rFonts w:ascii="Arial" w:hAnsi="Arial" w:cs="Arial"/>
          <w:sz w:val="20"/>
          <w:szCs w:val="20"/>
        </w:rPr>
        <w:t>Referem-se às Letras de Crédito do Agronegócio – LCA, que conferem direito de penhor sobre os direitos creditórios do agronegócio a elas vinculados (Lei nº 11.076/2004).</w:t>
      </w:r>
    </w:p>
    <w:p w14:paraId="65F8D69E" w14:textId="77777777" w:rsidR="00BA3275" w:rsidRDefault="00000000">
      <w:pPr>
        <w:pStyle w:val="NormalWeb"/>
        <w:jc w:val="both"/>
      </w:pPr>
      <w:r>
        <w:rPr>
          <w:rFonts w:ascii="Arial" w:hAnsi="Arial" w:cs="Arial"/>
          <w:sz w:val="20"/>
          <w:szCs w:val="20"/>
        </w:rPr>
        <w:t>As Letras de Crédito Imobiliário – LCI, lastreadas por créditos imobiliários garantidos por hipoteca ou por alienação fiduciária de coisa imóvel (Lei nº 10.931/2004).</w:t>
      </w:r>
    </w:p>
    <w:p w14:paraId="56246B6A" w14:textId="77777777" w:rsidR="00BA3275" w:rsidRDefault="00000000">
      <w:pPr>
        <w:pStyle w:val="NormalWeb"/>
        <w:jc w:val="both"/>
      </w:pPr>
      <w:r>
        <w:rPr>
          <w:rFonts w:ascii="Arial" w:hAnsi="Arial" w:cs="Arial"/>
          <w:sz w:val="20"/>
          <w:szCs w:val="20"/>
        </w:rPr>
        <w:t>Em 30 de junho de 2025, estão assim compostas:</w:t>
      </w:r>
    </w:p>
    <w:tbl>
      <w:tblPr>
        <w:tblW w:w="5000" w:type="pct"/>
        <w:tblCellMar>
          <w:left w:w="0" w:type="dxa"/>
          <w:right w:w="0" w:type="dxa"/>
        </w:tblCellMar>
        <w:tblLook w:val="04A0" w:firstRow="1" w:lastRow="0" w:firstColumn="1" w:lastColumn="0" w:noHBand="0" w:noVBand="1"/>
      </w:tblPr>
      <w:tblGrid>
        <w:gridCol w:w="5732"/>
        <w:gridCol w:w="1254"/>
        <w:gridCol w:w="1382"/>
        <w:gridCol w:w="1254"/>
      </w:tblGrid>
      <w:tr w:rsidR="00BA3275" w14:paraId="4F68BABA"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E39A397" w14:textId="77777777" w:rsidR="00BA3275" w:rsidRDefault="00000000">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445A8C8"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281FFA03"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D042A4" w14:textId="77777777" w:rsidR="00BA3275" w:rsidRDefault="00BA327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997BF2" w14:textId="77777777" w:rsidR="00BA3275"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4E22E" w14:textId="77777777" w:rsidR="00BA3275"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1D5F4E0" w14:textId="77777777" w:rsidR="00BA3275" w:rsidRDefault="00000000">
            <w:pPr>
              <w:jc w:val="center"/>
              <w:rPr>
                <w:rFonts w:eastAsia="Times New Roman"/>
              </w:rPr>
            </w:pPr>
            <w:r>
              <w:rPr>
                <w:rFonts w:ascii="Arial" w:eastAsia="Times New Roman" w:hAnsi="Arial" w:cs="Arial"/>
                <w:b/>
                <w:bCs/>
                <w:sz w:val="16"/>
                <w:szCs w:val="16"/>
              </w:rPr>
              <w:t>Total</w:t>
            </w:r>
          </w:p>
        </w:tc>
      </w:tr>
      <w:tr w:rsidR="00BA3275" w14:paraId="30194C2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DC70740" w14:textId="77777777" w:rsidR="00BA3275" w:rsidRDefault="00000000">
            <w:pPr>
              <w:rPr>
                <w:rFonts w:eastAsia="Times New Roman"/>
              </w:rPr>
            </w:pPr>
            <w:r>
              <w:rPr>
                <w:rFonts w:ascii="Arial" w:eastAsia="Times New Roman" w:hAnsi="Arial" w:cs="Arial"/>
                <w:sz w:val="16"/>
                <w:szCs w:val="16"/>
              </w:rPr>
              <w:t>Obrigações por Emissão de Letras de Créd. Imobiliário - LCI</w:t>
            </w:r>
          </w:p>
        </w:tc>
        <w:tc>
          <w:tcPr>
            <w:tcW w:w="0" w:type="auto"/>
            <w:tcBorders>
              <w:top w:val="outset" w:sz="6" w:space="0" w:color="auto"/>
              <w:left w:val="outset" w:sz="6" w:space="0" w:color="auto"/>
              <w:bottom w:val="outset" w:sz="6" w:space="0" w:color="auto"/>
              <w:right w:val="outset" w:sz="6" w:space="0" w:color="auto"/>
            </w:tcBorders>
            <w:vAlign w:val="center"/>
            <w:hideMark/>
          </w:tcPr>
          <w:p w14:paraId="076E0B01" w14:textId="77777777" w:rsidR="00BA3275" w:rsidRDefault="00000000" w:rsidP="00370A97">
            <w:pPr>
              <w:jc w:val="right"/>
              <w:rPr>
                <w:rFonts w:eastAsia="Times New Roman"/>
              </w:rPr>
            </w:pPr>
            <w:r>
              <w:rPr>
                <w:rFonts w:ascii="Arial" w:eastAsia="Times New Roman" w:hAnsi="Arial" w:cs="Arial"/>
                <w:sz w:val="16"/>
                <w:szCs w:val="16"/>
              </w:rPr>
              <w:t>212.393,16</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8D672" w14:textId="77777777" w:rsidR="00BA3275" w:rsidRDefault="00000000" w:rsidP="00370A97">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3785EB" w14:textId="77777777" w:rsidR="00BA3275" w:rsidRDefault="00000000" w:rsidP="00370A97">
            <w:pPr>
              <w:jc w:val="right"/>
              <w:rPr>
                <w:rFonts w:eastAsia="Times New Roman"/>
              </w:rPr>
            </w:pPr>
            <w:r>
              <w:rPr>
                <w:rFonts w:ascii="Arial" w:eastAsia="Times New Roman" w:hAnsi="Arial" w:cs="Arial"/>
                <w:sz w:val="16"/>
                <w:szCs w:val="16"/>
              </w:rPr>
              <w:t>212.393,16</w:t>
            </w:r>
          </w:p>
        </w:tc>
      </w:tr>
      <w:tr w:rsidR="00BA3275" w14:paraId="5A3EB28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58C694F" w14:textId="77777777" w:rsidR="00BA3275" w:rsidRDefault="00000000">
            <w:pPr>
              <w:rPr>
                <w:rFonts w:eastAsia="Times New Roman"/>
              </w:rPr>
            </w:pPr>
            <w:r>
              <w:rPr>
                <w:rFonts w:ascii="Arial" w:eastAsia="Times New Roman" w:hAnsi="Arial" w:cs="Arial"/>
                <w:sz w:val="16"/>
                <w:szCs w:val="16"/>
              </w:rPr>
              <w:t>Obrigações por Emissão de Letras de Créd. do Agronegócio -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0EB6C" w14:textId="77777777" w:rsidR="00BA3275" w:rsidRDefault="00000000" w:rsidP="00370A97">
            <w:pPr>
              <w:jc w:val="right"/>
              <w:rPr>
                <w:rFonts w:eastAsia="Times New Roman"/>
              </w:rPr>
            </w:pPr>
            <w:r>
              <w:rPr>
                <w:rFonts w:ascii="Arial" w:eastAsia="Times New Roman" w:hAnsi="Arial" w:cs="Arial"/>
                <w:sz w:val="16"/>
                <w:szCs w:val="16"/>
              </w:rPr>
              <w:t>43.847.091,04</w:t>
            </w:r>
          </w:p>
        </w:tc>
        <w:tc>
          <w:tcPr>
            <w:tcW w:w="0" w:type="auto"/>
            <w:tcBorders>
              <w:top w:val="outset" w:sz="6" w:space="0" w:color="auto"/>
              <w:left w:val="outset" w:sz="6" w:space="0" w:color="auto"/>
              <w:bottom w:val="outset" w:sz="6" w:space="0" w:color="auto"/>
              <w:right w:val="outset" w:sz="6" w:space="0" w:color="auto"/>
            </w:tcBorders>
            <w:vAlign w:val="center"/>
            <w:hideMark/>
          </w:tcPr>
          <w:p w14:paraId="4C443B0B" w14:textId="77777777" w:rsidR="00BA3275" w:rsidRDefault="00000000" w:rsidP="00370A97">
            <w:pPr>
              <w:jc w:val="right"/>
              <w:rPr>
                <w:rFonts w:eastAsia="Times New Roman"/>
              </w:rPr>
            </w:pPr>
            <w:r>
              <w:rPr>
                <w:rFonts w:ascii="Arial" w:eastAsia="Times New Roman" w:hAnsi="Arial" w:cs="Arial"/>
                <w:sz w:val="16"/>
                <w:szCs w:val="16"/>
              </w:rPr>
              <w:t>47.390.828,70</w:t>
            </w:r>
          </w:p>
        </w:tc>
        <w:tc>
          <w:tcPr>
            <w:tcW w:w="0" w:type="auto"/>
            <w:tcBorders>
              <w:top w:val="outset" w:sz="6" w:space="0" w:color="auto"/>
              <w:left w:val="outset" w:sz="6" w:space="0" w:color="auto"/>
              <w:bottom w:val="outset" w:sz="6" w:space="0" w:color="auto"/>
              <w:right w:val="outset" w:sz="6" w:space="0" w:color="auto"/>
            </w:tcBorders>
            <w:vAlign w:val="center"/>
            <w:hideMark/>
          </w:tcPr>
          <w:p w14:paraId="7099E04C" w14:textId="77777777" w:rsidR="00BA3275" w:rsidRDefault="00000000" w:rsidP="00370A97">
            <w:pPr>
              <w:jc w:val="right"/>
              <w:rPr>
                <w:rFonts w:eastAsia="Times New Roman"/>
              </w:rPr>
            </w:pPr>
            <w:r>
              <w:rPr>
                <w:rFonts w:ascii="Arial" w:eastAsia="Times New Roman" w:hAnsi="Arial" w:cs="Arial"/>
                <w:sz w:val="16"/>
                <w:szCs w:val="16"/>
              </w:rPr>
              <w:t>91.237.919,74</w:t>
            </w:r>
          </w:p>
        </w:tc>
      </w:tr>
      <w:tr w:rsidR="00BA3275" w14:paraId="145D9D2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252D21C" w14:textId="77777777" w:rsidR="00BA3275"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34E72" w14:textId="77777777" w:rsidR="00BA3275" w:rsidRDefault="00000000" w:rsidP="00370A97">
            <w:pPr>
              <w:jc w:val="right"/>
              <w:rPr>
                <w:rFonts w:eastAsia="Times New Roman"/>
              </w:rPr>
            </w:pPr>
            <w:r>
              <w:rPr>
                <w:rFonts w:ascii="Arial" w:eastAsia="Times New Roman" w:hAnsi="Arial" w:cs="Arial"/>
                <w:b/>
                <w:bCs/>
                <w:sz w:val="16"/>
                <w:szCs w:val="16"/>
              </w:rPr>
              <w:t>44.059.484,20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52FD3" w14:textId="77777777" w:rsidR="00BA3275" w:rsidRDefault="00000000" w:rsidP="00370A97">
            <w:pPr>
              <w:jc w:val="right"/>
              <w:rPr>
                <w:rFonts w:eastAsia="Times New Roman"/>
              </w:rPr>
            </w:pPr>
            <w:r>
              <w:rPr>
                <w:rFonts w:ascii="Arial" w:eastAsia="Times New Roman" w:hAnsi="Arial" w:cs="Arial"/>
                <w:b/>
                <w:bCs/>
                <w:sz w:val="16"/>
                <w:szCs w:val="16"/>
              </w:rPr>
              <w:t>47.390.828,70</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88545" w14:textId="77777777" w:rsidR="00BA3275" w:rsidRDefault="00000000" w:rsidP="00370A97">
            <w:pPr>
              <w:jc w:val="right"/>
              <w:rPr>
                <w:rFonts w:eastAsia="Times New Roman"/>
              </w:rPr>
            </w:pPr>
            <w:r>
              <w:rPr>
                <w:rFonts w:ascii="Arial" w:eastAsia="Times New Roman" w:hAnsi="Arial" w:cs="Arial"/>
                <w:b/>
                <w:bCs/>
                <w:sz w:val="16"/>
                <w:szCs w:val="16"/>
              </w:rPr>
              <w:t>91.450.312,90</w:t>
            </w:r>
          </w:p>
        </w:tc>
      </w:tr>
    </w:tbl>
    <w:p w14:paraId="1C61441B" w14:textId="40826BD6" w:rsidR="00BA3275" w:rsidRDefault="00000000">
      <w:pPr>
        <w:pStyle w:val="NormalWeb"/>
        <w:jc w:val="both"/>
      </w:pPr>
      <w:r>
        <w:rPr>
          <w:rFonts w:ascii="Arial" w:hAnsi="Arial" w:cs="Arial"/>
          <w:sz w:val="20"/>
          <w:szCs w:val="20"/>
        </w:rPr>
        <w:t xml:space="preserve">São remunerados por encargos financeiros calculados com base em percentual do CDI - Certificado de Depósitos Interbancários. Os valores apropriados em despesas podem ser consultados na nota explicativa nº </w:t>
      </w:r>
      <w:r w:rsidR="00370A97">
        <w:rPr>
          <w:rFonts w:ascii="Arial" w:hAnsi="Arial" w:cs="Arial"/>
          <w:sz w:val="20"/>
          <w:szCs w:val="20"/>
        </w:rPr>
        <w:t>12.4</w:t>
      </w:r>
      <w:r>
        <w:rPr>
          <w:rFonts w:ascii="Arial" w:hAnsi="Arial" w:cs="Arial"/>
          <w:sz w:val="20"/>
          <w:szCs w:val="20"/>
        </w:rPr>
        <w:t xml:space="preserve"> - Depósitos - Despesas com operações de captação de mercado.</w:t>
      </w:r>
    </w:p>
    <w:p w14:paraId="791E993B" w14:textId="77777777" w:rsidR="00BA3275" w:rsidRDefault="00000000">
      <w:pPr>
        <w:pStyle w:val="NormalWeb"/>
      </w:pPr>
      <w:r>
        <w:rPr>
          <w:rFonts w:ascii="Arial" w:hAnsi="Arial" w:cs="Arial"/>
          <w:b/>
          <w:bCs/>
          <w:sz w:val="20"/>
          <w:szCs w:val="20"/>
        </w:rPr>
        <w:t>14. Relações Interfinanceiras</w:t>
      </w:r>
    </w:p>
    <w:p w14:paraId="25E95975" w14:textId="77777777" w:rsidR="00BA3275" w:rsidRDefault="00000000">
      <w:pPr>
        <w:pStyle w:val="NormalWeb"/>
        <w:jc w:val="both"/>
      </w:pPr>
      <w:r>
        <w:rPr>
          <w:rFonts w:ascii="Arial" w:hAnsi="Arial" w:cs="Arial"/>
          <w:sz w:val="20"/>
          <w:szCs w:val="20"/>
        </w:rPr>
        <w:t>São demonstrados pelo valor principal acrescido de encargos financeiros, e registram os recursos captados junto a outras instituições financeiras para repasse aos associados em diversas modalidades inclusive Capital de Giro. As garantias oferecidas são a caução dos títulos de créditos dos associados beneficiados.</w:t>
      </w:r>
    </w:p>
    <w:p w14:paraId="64837B66" w14:textId="4E6FD00D" w:rsidR="00BA3275" w:rsidRDefault="00000000">
      <w:pPr>
        <w:pStyle w:val="NormalWeb"/>
      </w:pPr>
      <w:r>
        <w:rPr>
          <w:rFonts w:ascii="Arial" w:hAnsi="Arial" w:cs="Arial"/>
          <w:b/>
          <w:bCs/>
          <w:sz w:val="20"/>
          <w:szCs w:val="20"/>
        </w:rPr>
        <w:t>14.</w:t>
      </w:r>
      <w:r w:rsidR="00370A97">
        <w:rPr>
          <w:rFonts w:ascii="Arial" w:hAnsi="Arial" w:cs="Arial"/>
          <w:b/>
          <w:bCs/>
          <w:sz w:val="20"/>
          <w:szCs w:val="20"/>
        </w:rPr>
        <w:t>1</w:t>
      </w:r>
      <w:r>
        <w:rPr>
          <w:rFonts w:ascii="Arial" w:hAnsi="Arial" w:cs="Arial"/>
          <w:b/>
          <w:bCs/>
          <w:sz w:val="20"/>
          <w:szCs w:val="20"/>
        </w:rPr>
        <w:t xml:space="preserve"> Repasses Interfinanceiros</w:t>
      </w:r>
    </w:p>
    <w:tbl>
      <w:tblPr>
        <w:tblW w:w="5000" w:type="pct"/>
        <w:tblCellMar>
          <w:left w:w="0" w:type="dxa"/>
          <w:right w:w="0" w:type="dxa"/>
        </w:tblCellMar>
        <w:tblLook w:val="04A0" w:firstRow="1" w:lastRow="0" w:firstColumn="1" w:lastColumn="0" w:noHBand="0" w:noVBand="1"/>
      </w:tblPr>
      <w:tblGrid>
        <w:gridCol w:w="5074"/>
        <w:gridCol w:w="1516"/>
        <w:gridCol w:w="1516"/>
        <w:gridCol w:w="1516"/>
      </w:tblGrid>
      <w:tr w:rsidR="00BA3275" w14:paraId="0F6973F0"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321E17B" w14:textId="77777777" w:rsidR="00BA3275" w:rsidRDefault="00000000">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5D3F4F6"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47BE4FF0"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B91673F" w14:textId="77777777" w:rsidR="00BA3275" w:rsidRDefault="00BA327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32CA67" w14:textId="77777777" w:rsidR="00BA3275"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B8BCE8C" w14:textId="77777777" w:rsidR="00BA3275"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D7FB7E3" w14:textId="77777777" w:rsidR="00BA3275" w:rsidRDefault="00000000">
            <w:pPr>
              <w:jc w:val="center"/>
              <w:rPr>
                <w:rFonts w:eastAsia="Times New Roman"/>
              </w:rPr>
            </w:pPr>
            <w:r>
              <w:rPr>
                <w:rFonts w:ascii="Arial" w:eastAsia="Times New Roman" w:hAnsi="Arial" w:cs="Arial"/>
                <w:b/>
                <w:bCs/>
                <w:sz w:val="16"/>
                <w:szCs w:val="16"/>
              </w:rPr>
              <w:t>Total</w:t>
            </w:r>
          </w:p>
        </w:tc>
      </w:tr>
      <w:tr w:rsidR="00BA3275" w14:paraId="393F4A6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B0D872C" w14:textId="77777777" w:rsidR="00BA3275" w:rsidRDefault="00000000">
            <w:pPr>
              <w:rPr>
                <w:rFonts w:eastAsia="Times New Roman"/>
              </w:rPr>
            </w:pPr>
            <w:r>
              <w:rPr>
                <w:rFonts w:ascii="Arial" w:eastAsia="Times New Roman" w:hAnsi="Arial" w:cs="Arial"/>
                <w:sz w:val="16"/>
                <w:szCs w:val="16"/>
              </w:rPr>
              <w:t>Recursos do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01078CCA" w14:textId="77777777" w:rsidR="00BA3275" w:rsidRDefault="00000000">
            <w:pPr>
              <w:jc w:val="right"/>
              <w:rPr>
                <w:rFonts w:eastAsia="Times New Roman"/>
              </w:rPr>
            </w:pPr>
            <w:r>
              <w:rPr>
                <w:rFonts w:ascii="Arial" w:eastAsia="Times New Roman" w:hAnsi="Arial" w:cs="Arial"/>
                <w:sz w:val="16"/>
                <w:szCs w:val="16"/>
              </w:rPr>
              <w:t>287.810.528,63</w:t>
            </w:r>
          </w:p>
        </w:tc>
        <w:tc>
          <w:tcPr>
            <w:tcW w:w="0" w:type="auto"/>
            <w:tcBorders>
              <w:top w:val="outset" w:sz="6" w:space="0" w:color="auto"/>
              <w:left w:val="outset" w:sz="6" w:space="0" w:color="auto"/>
              <w:bottom w:val="outset" w:sz="6" w:space="0" w:color="auto"/>
              <w:right w:val="outset" w:sz="6" w:space="0" w:color="auto"/>
            </w:tcBorders>
            <w:vAlign w:val="center"/>
            <w:hideMark/>
          </w:tcPr>
          <w:p w14:paraId="19B0C0C8" w14:textId="77777777" w:rsidR="00BA3275" w:rsidRDefault="00000000">
            <w:pPr>
              <w:jc w:val="right"/>
              <w:rPr>
                <w:rFonts w:eastAsia="Times New Roman"/>
              </w:rPr>
            </w:pPr>
            <w:r>
              <w:rPr>
                <w:rFonts w:ascii="Arial" w:eastAsia="Times New Roman" w:hAnsi="Arial" w:cs="Arial"/>
                <w:sz w:val="16"/>
                <w:szCs w:val="16"/>
              </w:rPr>
              <w:t>56.895.115,70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E07041" w14:textId="77777777" w:rsidR="00BA3275" w:rsidRDefault="00000000">
            <w:pPr>
              <w:jc w:val="right"/>
              <w:rPr>
                <w:rFonts w:eastAsia="Times New Roman"/>
              </w:rPr>
            </w:pPr>
            <w:r>
              <w:rPr>
                <w:rFonts w:ascii="Arial" w:eastAsia="Times New Roman" w:hAnsi="Arial" w:cs="Arial"/>
                <w:sz w:val="16"/>
                <w:szCs w:val="16"/>
              </w:rPr>
              <w:t>344.705.644,33</w:t>
            </w:r>
          </w:p>
        </w:tc>
      </w:tr>
      <w:tr w:rsidR="00BA3275" w14:paraId="4463764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C1689B4" w14:textId="77777777" w:rsidR="00BA3275" w:rsidRDefault="00000000">
            <w:pPr>
              <w:rPr>
                <w:rFonts w:eastAsia="Times New Roman"/>
              </w:rPr>
            </w:pPr>
            <w:r>
              <w:rPr>
                <w:rFonts w:ascii="Arial" w:eastAsia="Times New Roman" w:hAnsi="Arial" w:cs="Arial"/>
                <w:sz w:val="16"/>
                <w:szCs w:val="16"/>
              </w:rPr>
              <w:t>(-) Despesas a Apropriar - Recursos do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17ADA199" w14:textId="77777777" w:rsidR="00BA3275" w:rsidRDefault="00000000">
            <w:pPr>
              <w:jc w:val="right"/>
              <w:rPr>
                <w:rFonts w:eastAsia="Times New Roman"/>
              </w:rPr>
            </w:pPr>
            <w:r>
              <w:rPr>
                <w:rFonts w:ascii="Arial" w:eastAsia="Times New Roman" w:hAnsi="Arial" w:cs="Arial"/>
                <w:sz w:val="16"/>
                <w:szCs w:val="16"/>
              </w:rPr>
              <w:t>(14.373.078,73)</w:t>
            </w:r>
          </w:p>
        </w:tc>
        <w:tc>
          <w:tcPr>
            <w:tcW w:w="0" w:type="auto"/>
            <w:tcBorders>
              <w:top w:val="outset" w:sz="6" w:space="0" w:color="auto"/>
              <w:left w:val="outset" w:sz="6" w:space="0" w:color="auto"/>
              <w:bottom w:val="outset" w:sz="6" w:space="0" w:color="auto"/>
              <w:right w:val="outset" w:sz="6" w:space="0" w:color="auto"/>
            </w:tcBorders>
            <w:vAlign w:val="center"/>
            <w:hideMark/>
          </w:tcPr>
          <w:p w14:paraId="7B1D30F0" w14:textId="77777777" w:rsidR="00BA3275" w:rsidRDefault="00000000">
            <w:pPr>
              <w:jc w:val="right"/>
              <w:rPr>
                <w:rFonts w:eastAsia="Times New Roman"/>
              </w:rPr>
            </w:pPr>
            <w:r>
              <w:rPr>
                <w:rFonts w:ascii="Arial" w:eastAsia="Times New Roman" w:hAnsi="Arial" w:cs="Arial"/>
                <w:sz w:val="16"/>
                <w:szCs w:val="16"/>
              </w:rPr>
              <w:t>(8.475.462,32)</w:t>
            </w:r>
          </w:p>
        </w:tc>
        <w:tc>
          <w:tcPr>
            <w:tcW w:w="0" w:type="auto"/>
            <w:tcBorders>
              <w:top w:val="outset" w:sz="6" w:space="0" w:color="auto"/>
              <w:left w:val="outset" w:sz="6" w:space="0" w:color="auto"/>
              <w:bottom w:val="outset" w:sz="6" w:space="0" w:color="auto"/>
              <w:right w:val="outset" w:sz="6" w:space="0" w:color="auto"/>
            </w:tcBorders>
            <w:vAlign w:val="center"/>
            <w:hideMark/>
          </w:tcPr>
          <w:p w14:paraId="29EB5688" w14:textId="77777777" w:rsidR="00BA3275" w:rsidRDefault="00000000">
            <w:pPr>
              <w:jc w:val="right"/>
              <w:rPr>
                <w:rFonts w:eastAsia="Times New Roman"/>
              </w:rPr>
            </w:pPr>
            <w:r>
              <w:rPr>
                <w:rFonts w:ascii="Arial" w:eastAsia="Times New Roman" w:hAnsi="Arial" w:cs="Arial"/>
                <w:sz w:val="16"/>
                <w:szCs w:val="16"/>
              </w:rPr>
              <w:t>(22.848.541,05)</w:t>
            </w:r>
          </w:p>
        </w:tc>
      </w:tr>
      <w:tr w:rsidR="00BA3275" w14:paraId="5255041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6BC3CBC" w14:textId="77777777" w:rsidR="00BA3275" w:rsidRDefault="00000000">
            <w:pPr>
              <w:rPr>
                <w:rFonts w:eastAsia="Times New Roman"/>
              </w:rPr>
            </w:pPr>
            <w:r>
              <w:rPr>
                <w:rFonts w:ascii="Arial" w:eastAsia="Times New Roman" w:hAnsi="Arial" w:cs="Arial"/>
                <w:sz w:val="16"/>
                <w:szCs w:val="16"/>
              </w:rPr>
              <w:t>Recursos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E72B6B6" w14:textId="77777777" w:rsidR="00BA3275" w:rsidRDefault="00000000">
            <w:pPr>
              <w:jc w:val="right"/>
              <w:rPr>
                <w:rFonts w:eastAsia="Times New Roman"/>
              </w:rPr>
            </w:pPr>
            <w:r>
              <w:rPr>
                <w:rFonts w:ascii="Arial" w:eastAsia="Times New Roman" w:hAnsi="Arial" w:cs="Arial"/>
                <w:sz w:val="16"/>
                <w:szCs w:val="16"/>
              </w:rPr>
              <w:t>2.839.539,42</w:t>
            </w:r>
          </w:p>
        </w:tc>
        <w:tc>
          <w:tcPr>
            <w:tcW w:w="0" w:type="auto"/>
            <w:tcBorders>
              <w:top w:val="outset" w:sz="6" w:space="0" w:color="auto"/>
              <w:left w:val="outset" w:sz="6" w:space="0" w:color="auto"/>
              <w:bottom w:val="outset" w:sz="6" w:space="0" w:color="auto"/>
              <w:right w:val="outset" w:sz="6" w:space="0" w:color="auto"/>
            </w:tcBorders>
            <w:vAlign w:val="center"/>
            <w:hideMark/>
          </w:tcPr>
          <w:p w14:paraId="41D849B8" w14:textId="77777777" w:rsidR="00BA3275" w:rsidRDefault="00000000">
            <w:pPr>
              <w:jc w:val="right"/>
              <w:rPr>
                <w:rFonts w:eastAsia="Times New Roman"/>
              </w:rPr>
            </w:pPr>
            <w:r>
              <w:rPr>
                <w:rFonts w:ascii="Arial" w:eastAsia="Times New Roman" w:hAnsi="Arial" w:cs="Arial"/>
                <w:sz w:val="16"/>
                <w:szCs w:val="16"/>
              </w:rPr>
              <w:t>295.786,28</w:t>
            </w:r>
          </w:p>
        </w:tc>
        <w:tc>
          <w:tcPr>
            <w:tcW w:w="0" w:type="auto"/>
            <w:tcBorders>
              <w:top w:val="outset" w:sz="6" w:space="0" w:color="auto"/>
              <w:left w:val="outset" w:sz="6" w:space="0" w:color="auto"/>
              <w:bottom w:val="outset" w:sz="6" w:space="0" w:color="auto"/>
              <w:right w:val="outset" w:sz="6" w:space="0" w:color="auto"/>
            </w:tcBorders>
            <w:vAlign w:val="center"/>
            <w:hideMark/>
          </w:tcPr>
          <w:p w14:paraId="2190FD60" w14:textId="77777777" w:rsidR="00BA3275" w:rsidRDefault="00000000">
            <w:pPr>
              <w:jc w:val="right"/>
              <w:rPr>
                <w:rFonts w:eastAsia="Times New Roman"/>
              </w:rPr>
            </w:pPr>
            <w:r>
              <w:rPr>
                <w:rFonts w:ascii="Arial" w:eastAsia="Times New Roman" w:hAnsi="Arial" w:cs="Arial"/>
                <w:sz w:val="16"/>
                <w:szCs w:val="16"/>
              </w:rPr>
              <w:t>3.135.325,70</w:t>
            </w:r>
          </w:p>
        </w:tc>
      </w:tr>
      <w:tr w:rsidR="00BA3275" w14:paraId="3BE8EA6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28A0939" w14:textId="77777777" w:rsidR="00BA3275" w:rsidRDefault="00000000">
            <w:pPr>
              <w:rPr>
                <w:rFonts w:eastAsia="Times New Roman"/>
              </w:rPr>
            </w:pPr>
            <w:r>
              <w:rPr>
                <w:rFonts w:ascii="Arial" w:eastAsia="Times New Roman" w:hAnsi="Arial" w:cs="Arial"/>
                <w:sz w:val="16"/>
                <w:szCs w:val="16"/>
              </w:rPr>
              <w:t>(-) Despesas a Apropriar - Recursos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4908BA7" w14:textId="77777777" w:rsidR="00BA3275" w:rsidRDefault="00000000">
            <w:pPr>
              <w:jc w:val="right"/>
              <w:rPr>
                <w:rFonts w:eastAsia="Times New Roman"/>
              </w:rPr>
            </w:pPr>
            <w:r>
              <w:rPr>
                <w:rFonts w:ascii="Arial" w:eastAsia="Times New Roman" w:hAnsi="Arial" w:cs="Arial"/>
                <w:sz w:val="16"/>
                <w:szCs w:val="16"/>
              </w:rPr>
              <w:t>(118.498,02)</w:t>
            </w:r>
          </w:p>
        </w:tc>
        <w:tc>
          <w:tcPr>
            <w:tcW w:w="0" w:type="auto"/>
            <w:tcBorders>
              <w:top w:val="outset" w:sz="6" w:space="0" w:color="auto"/>
              <w:left w:val="outset" w:sz="6" w:space="0" w:color="auto"/>
              <w:bottom w:val="outset" w:sz="6" w:space="0" w:color="auto"/>
              <w:right w:val="outset" w:sz="6" w:space="0" w:color="auto"/>
            </w:tcBorders>
            <w:vAlign w:val="center"/>
            <w:hideMark/>
          </w:tcPr>
          <w:p w14:paraId="584A4522" w14:textId="77777777" w:rsidR="00BA3275" w:rsidRDefault="00000000">
            <w:pPr>
              <w:jc w:val="right"/>
              <w:rPr>
                <w:rFonts w:eastAsia="Times New Roman"/>
              </w:rPr>
            </w:pPr>
            <w:r>
              <w:rPr>
                <w:rFonts w:ascii="Arial" w:eastAsia="Times New Roman" w:hAnsi="Arial" w:cs="Arial"/>
                <w:sz w:val="16"/>
                <w:szCs w:val="16"/>
              </w:rPr>
              <w:t>(31.786,28)</w:t>
            </w:r>
          </w:p>
        </w:tc>
        <w:tc>
          <w:tcPr>
            <w:tcW w:w="0" w:type="auto"/>
            <w:tcBorders>
              <w:top w:val="outset" w:sz="6" w:space="0" w:color="auto"/>
              <w:left w:val="outset" w:sz="6" w:space="0" w:color="auto"/>
              <w:bottom w:val="outset" w:sz="6" w:space="0" w:color="auto"/>
              <w:right w:val="outset" w:sz="6" w:space="0" w:color="auto"/>
            </w:tcBorders>
            <w:vAlign w:val="center"/>
            <w:hideMark/>
          </w:tcPr>
          <w:p w14:paraId="344AFD6C" w14:textId="77777777" w:rsidR="00BA3275" w:rsidRDefault="00000000">
            <w:pPr>
              <w:jc w:val="right"/>
              <w:rPr>
                <w:rFonts w:eastAsia="Times New Roman"/>
              </w:rPr>
            </w:pPr>
            <w:r>
              <w:rPr>
                <w:rFonts w:ascii="Arial" w:eastAsia="Times New Roman" w:hAnsi="Arial" w:cs="Arial"/>
                <w:sz w:val="16"/>
                <w:szCs w:val="16"/>
              </w:rPr>
              <w:t>(150.284,30)</w:t>
            </w:r>
          </w:p>
        </w:tc>
      </w:tr>
      <w:tr w:rsidR="00BA3275" w14:paraId="573BC60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17661C3" w14:textId="77777777" w:rsidR="00BA3275"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59173F1" w14:textId="77777777" w:rsidR="00BA3275" w:rsidRDefault="00000000">
            <w:pPr>
              <w:jc w:val="right"/>
              <w:rPr>
                <w:rFonts w:eastAsia="Times New Roman"/>
              </w:rPr>
            </w:pPr>
            <w:r>
              <w:rPr>
                <w:rFonts w:ascii="Arial" w:eastAsia="Times New Roman" w:hAnsi="Arial" w:cs="Arial"/>
                <w:b/>
                <w:bCs/>
                <w:sz w:val="16"/>
                <w:szCs w:val="16"/>
              </w:rPr>
              <w:t>276.158.491,30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19D95E" w14:textId="77777777" w:rsidR="00BA3275" w:rsidRDefault="00000000">
            <w:pPr>
              <w:jc w:val="right"/>
              <w:rPr>
                <w:rFonts w:eastAsia="Times New Roman"/>
              </w:rPr>
            </w:pPr>
            <w:r>
              <w:rPr>
                <w:rFonts w:ascii="Arial" w:eastAsia="Times New Roman" w:hAnsi="Arial" w:cs="Arial"/>
                <w:b/>
                <w:bCs/>
                <w:sz w:val="16"/>
                <w:szCs w:val="16"/>
              </w:rPr>
              <w:t>48.683.653,38</w:t>
            </w:r>
          </w:p>
        </w:tc>
        <w:tc>
          <w:tcPr>
            <w:tcW w:w="0" w:type="auto"/>
            <w:tcBorders>
              <w:top w:val="outset" w:sz="6" w:space="0" w:color="auto"/>
              <w:left w:val="outset" w:sz="6" w:space="0" w:color="auto"/>
              <w:bottom w:val="outset" w:sz="6" w:space="0" w:color="auto"/>
              <w:right w:val="outset" w:sz="6" w:space="0" w:color="auto"/>
            </w:tcBorders>
            <w:vAlign w:val="center"/>
            <w:hideMark/>
          </w:tcPr>
          <w:p w14:paraId="32B4A572" w14:textId="77777777" w:rsidR="00BA3275" w:rsidRDefault="00000000">
            <w:pPr>
              <w:jc w:val="right"/>
              <w:rPr>
                <w:rFonts w:eastAsia="Times New Roman"/>
              </w:rPr>
            </w:pPr>
            <w:r>
              <w:rPr>
                <w:rFonts w:ascii="Arial" w:eastAsia="Times New Roman" w:hAnsi="Arial" w:cs="Arial"/>
                <w:b/>
                <w:bCs/>
                <w:sz w:val="16"/>
                <w:szCs w:val="16"/>
              </w:rPr>
              <w:t>324.842.144,68</w:t>
            </w:r>
          </w:p>
        </w:tc>
      </w:tr>
    </w:tbl>
    <w:p w14:paraId="59A1D72D" w14:textId="6ECB89DD" w:rsidR="00BA3275" w:rsidRDefault="00000000">
      <w:pPr>
        <w:pStyle w:val="NormalWeb"/>
        <w:jc w:val="both"/>
      </w:pPr>
      <w:r>
        <w:rPr>
          <w:rFonts w:ascii="Arial" w:hAnsi="Arial" w:cs="Arial"/>
          <w:sz w:val="20"/>
          <w:szCs w:val="20"/>
        </w:rPr>
        <w:t xml:space="preserve">As taxas de juros praticadas nas operações interfinanceiras com o Banco Sicoob correspondem a uma média de </w:t>
      </w:r>
      <w:r w:rsidR="001204E4">
        <w:rPr>
          <w:rFonts w:ascii="Arial" w:hAnsi="Arial" w:cs="Arial"/>
          <w:sz w:val="20"/>
          <w:szCs w:val="20"/>
        </w:rPr>
        <w:t>9,31</w:t>
      </w:r>
      <w:r>
        <w:rPr>
          <w:rFonts w:ascii="Arial" w:hAnsi="Arial" w:cs="Arial"/>
          <w:sz w:val="20"/>
          <w:szCs w:val="20"/>
        </w:rPr>
        <w:t xml:space="preserve">% ao ano, com vencimento até </w:t>
      </w:r>
      <w:r w:rsidR="001204E4">
        <w:rPr>
          <w:rFonts w:ascii="Arial" w:hAnsi="Arial" w:cs="Arial"/>
          <w:sz w:val="20"/>
          <w:szCs w:val="20"/>
        </w:rPr>
        <w:t>09/01/2032</w:t>
      </w:r>
      <w:r>
        <w:rPr>
          <w:rFonts w:ascii="Arial" w:hAnsi="Arial" w:cs="Arial"/>
          <w:sz w:val="20"/>
          <w:szCs w:val="20"/>
        </w:rPr>
        <w:t>. As operações com Recursos da Central correspondem a uma taxa média de</w:t>
      </w:r>
      <w:r w:rsidR="00EF3B69">
        <w:rPr>
          <w:rFonts w:ascii="Arial" w:hAnsi="Arial" w:cs="Arial"/>
          <w:sz w:val="20"/>
          <w:szCs w:val="20"/>
        </w:rPr>
        <w:t xml:space="preserve"> 8,75</w:t>
      </w:r>
      <w:r>
        <w:rPr>
          <w:rFonts w:ascii="Arial" w:hAnsi="Arial" w:cs="Arial"/>
          <w:sz w:val="20"/>
          <w:szCs w:val="20"/>
        </w:rPr>
        <w:t xml:space="preserve">% ao ano, com vencimento até </w:t>
      </w:r>
      <w:r w:rsidR="00EF3B69">
        <w:rPr>
          <w:rFonts w:ascii="Arial" w:hAnsi="Arial" w:cs="Arial"/>
          <w:sz w:val="20"/>
          <w:szCs w:val="20"/>
        </w:rPr>
        <w:t>04/02/2030</w:t>
      </w:r>
      <w:r>
        <w:rPr>
          <w:rFonts w:ascii="Arial" w:hAnsi="Arial" w:cs="Arial"/>
          <w:sz w:val="20"/>
          <w:szCs w:val="20"/>
        </w:rPr>
        <w:t>.</w:t>
      </w:r>
    </w:p>
    <w:p w14:paraId="30C8BDE7" w14:textId="74DFA993" w:rsidR="00BA3275" w:rsidRDefault="00000000">
      <w:pPr>
        <w:pStyle w:val="NormalWeb"/>
      </w:pPr>
      <w:r>
        <w:rPr>
          <w:rFonts w:ascii="Arial" w:hAnsi="Arial" w:cs="Arial"/>
          <w:b/>
          <w:bCs/>
          <w:sz w:val="20"/>
          <w:szCs w:val="20"/>
        </w:rPr>
        <w:t>14.</w:t>
      </w:r>
      <w:r w:rsidR="00370A97">
        <w:rPr>
          <w:rFonts w:ascii="Arial" w:hAnsi="Arial" w:cs="Arial"/>
          <w:b/>
          <w:bCs/>
          <w:sz w:val="20"/>
          <w:szCs w:val="20"/>
        </w:rPr>
        <w:t>2</w:t>
      </w:r>
      <w:r>
        <w:rPr>
          <w:rFonts w:ascii="Arial" w:hAnsi="Arial" w:cs="Arial"/>
          <w:b/>
          <w:bCs/>
          <w:sz w:val="20"/>
          <w:szCs w:val="20"/>
        </w:rPr>
        <w:t xml:space="preserve"> Despesas de Operações de Empréstimos e Repasses</w:t>
      </w:r>
    </w:p>
    <w:tbl>
      <w:tblPr>
        <w:tblW w:w="5000" w:type="pct"/>
        <w:tblCellMar>
          <w:left w:w="0" w:type="dxa"/>
          <w:right w:w="0" w:type="dxa"/>
        </w:tblCellMar>
        <w:tblLook w:val="04A0" w:firstRow="1" w:lastRow="0" w:firstColumn="1" w:lastColumn="0" w:noHBand="0" w:noVBand="1"/>
      </w:tblPr>
      <w:tblGrid>
        <w:gridCol w:w="7190"/>
        <w:gridCol w:w="2432"/>
      </w:tblGrid>
      <w:tr w:rsidR="00BA3275" w14:paraId="5E47088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02A179E" w14:textId="77777777" w:rsidR="00BA3275" w:rsidRDefault="00000000">
            <w:pPr>
              <w:jc w:val="center"/>
              <w:rPr>
                <w:rFonts w:eastAsia="Times New Roman"/>
              </w:rPr>
            </w:pPr>
            <w:r>
              <w:rPr>
                <w:rFonts w:ascii="Arial" w:eastAsia="Times New Roman" w:hAnsi="Arial" w:cs="Arial"/>
                <w:b/>
                <w:bCs/>
                <w:sz w:val="16"/>
                <w:szCs w:val="16"/>
              </w:rPr>
              <w:t>Instituições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9D8D3EE"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198ADE0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61F36A6" w14:textId="77777777" w:rsidR="00BA3275" w:rsidRDefault="00000000">
            <w:pPr>
              <w:rPr>
                <w:rFonts w:eastAsia="Times New Roman"/>
              </w:rPr>
            </w:pPr>
            <w:r>
              <w:rPr>
                <w:rFonts w:ascii="Arial" w:eastAsia="Times New Roman" w:hAnsi="Arial" w:cs="Arial"/>
                <w:sz w:val="16"/>
                <w:szCs w:val="16"/>
              </w:rPr>
              <w:t>Banco Cooperativo Sicoob S.A. -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07810" w14:textId="77777777" w:rsidR="00BA3275" w:rsidRDefault="00000000">
            <w:pPr>
              <w:jc w:val="right"/>
              <w:rPr>
                <w:rFonts w:eastAsia="Times New Roman"/>
              </w:rPr>
            </w:pPr>
            <w:r>
              <w:rPr>
                <w:rFonts w:ascii="Arial" w:eastAsia="Times New Roman" w:hAnsi="Arial" w:cs="Arial"/>
                <w:sz w:val="16"/>
                <w:szCs w:val="16"/>
              </w:rPr>
              <w:t>(13.620.551,85)</w:t>
            </w:r>
          </w:p>
        </w:tc>
      </w:tr>
      <w:tr w:rsidR="00BA3275" w14:paraId="79598B3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F744858" w14:textId="77777777" w:rsidR="00BA3275" w:rsidRDefault="00000000">
            <w:pPr>
              <w:rPr>
                <w:rFonts w:eastAsia="Times New Roman"/>
              </w:rPr>
            </w:pPr>
            <w:r>
              <w:rPr>
                <w:rFonts w:ascii="Arial" w:eastAsia="Times New Roman" w:hAnsi="Arial" w:cs="Arial"/>
                <w:sz w:val="16"/>
                <w:szCs w:val="16"/>
              </w:rPr>
              <w:t>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852B4" w14:textId="77777777" w:rsidR="00BA3275" w:rsidRDefault="00000000">
            <w:pPr>
              <w:jc w:val="right"/>
              <w:rPr>
                <w:rFonts w:eastAsia="Times New Roman"/>
              </w:rPr>
            </w:pPr>
            <w:r>
              <w:rPr>
                <w:rFonts w:ascii="Arial" w:eastAsia="Times New Roman" w:hAnsi="Arial" w:cs="Arial"/>
                <w:sz w:val="16"/>
                <w:szCs w:val="16"/>
              </w:rPr>
              <w:t>(122.057,82)</w:t>
            </w:r>
          </w:p>
        </w:tc>
      </w:tr>
      <w:tr w:rsidR="00BA3275" w14:paraId="7BDEF4E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B3FD124" w14:textId="77777777" w:rsidR="00BA3275" w:rsidRDefault="00000000">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474996" w14:textId="77777777" w:rsidR="00BA3275" w:rsidRDefault="00000000">
            <w:pPr>
              <w:jc w:val="right"/>
              <w:rPr>
                <w:rFonts w:eastAsia="Times New Roman"/>
              </w:rPr>
            </w:pPr>
            <w:r>
              <w:rPr>
                <w:rFonts w:ascii="Arial" w:eastAsia="Times New Roman" w:hAnsi="Arial" w:cs="Arial"/>
                <w:b/>
                <w:bCs/>
                <w:sz w:val="16"/>
                <w:szCs w:val="16"/>
              </w:rPr>
              <w:t>(13.742.609,67)</w:t>
            </w:r>
          </w:p>
        </w:tc>
      </w:tr>
    </w:tbl>
    <w:p w14:paraId="72E42986" w14:textId="77777777" w:rsidR="00BA3275" w:rsidRDefault="00000000">
      <w:pPr>
        <w:pStyle w:val="NormalWeb"/>
      </w:pPr>
      <w:r>
        <w:rPr>
          <w:rFonts w:ascii="Arial" w:hAnsi="Arial" w:cs="Arial"/>
          <w:b/>
          <w:bCs/>
          <w:sz w:val="20"/>
          <w:szCs w:val="20"/>
        </w:rPr>
        <w:lastRenderedPageBreak/>
        <w:t>15. Outros Passivos</w:t>
      </w:r>
    </w:p>
    <w:p w14:paraId="3619EC9F" w14:textId="77777777" w:rsidR="00BA3275" w:rsidRDefault="00000000">
      <w:pPr>
        <w:pStyle w:val="NormalWeb"/>
      </w:pPr>
      <w:r>
        <w:rPr>
          <w:rFonts w:ascii="Arial" w:hAnsi="Arial" w:cs="Arial"/>
          <w:b/>
          <w:bCs/>
          <w:sz w:val="20"/>
          <w:szCs w:val="20"/>
        </w:rPr>
        <w:t xml:space="preserve">15.1 Outros Passivos </w:t>
      </w:r>
    </w:p>
    <w:p w14:paraId="1B975BD1" w14:textId="77777777" w:rsidR="00BA3275" w:rsidRDefault="00000000">
      <w:pPr>
        <w:pStyle w:val="NormalWeb"/>
        <w:jc w:val="both"/>
      </w:pPr>
      <w:r>
        <w:rPr>
          <w:rFonts w:ascii="Arial" w:hAnsi="Arial" w:cs="Arial"/>
          <w:sz w:val="20"/>
          <w:szCs w:val="20"/>
        </w:rPr>
        <w:t>Os recursos de terceiros que estão com a Cooperativa são registrados nessa conta para posterior repasse, por sua ordem. Em 30 de junho de 2025, estão assim compostos:</w:t>
      </w:r>
    </w:p>
    <w:tbl>
      <w:tblPr>
        <w:tblW w:w="5000" w:type="pct"/>
        <w:tblCellMar>
          <w:left w:w="0" w:type="dxa"/>
          <w:right w:w="0" w:type="dxa"/>
        </w:tblCellMar>
        <w:tblLook w:val="04A0" w:firstRow="1" w:lastRow="0" w:firstColumn="1" w:lastColumn="0" w:noHBand="0" w:noVBand="1"/>
      </w:tblPr>
      <w:tblGrid>
        <w:gridCol w:w="5500"/>
        <w:gridCol w:w="1329"/>
        <w:gridCol w:w="1464"/>
        <w:gridCol w:w="1329"/>
      </w:tblGrid>
      <w:tr w:rsidR="00BA3275" w14:paraId="0DB6F64D"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8AA226A" w14:textId="77777777" w:rsidR="00BA3275" w:rsidRDefault="00000000">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1F70CE8"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6325D358"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13AF88" w14:textId="77777777" w:rsidR="00BA3275" w:rsidRDefault="00BA327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41B9CA" w14:textId="77777777" w:rsidR="00BA3275"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1815BDE" w14:textId="77777777" w:rsidR="00BA3275"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E1343" w14:textId="77777777" w:rsidR="00BA3275" w:rsidRDefault="00000000">
            <w:pPr>
              <w:jc w:val="center"/>
              <w:rPr>
                <w:rFonts w:eastAsia="Times New Roman"/>
              </w:rPr>
            </w:pPr>
            <w:r>
              <w:rPr>
                <w:rFonts w:ascii="Arial" w:eastAsia="Times New Roman" w:hAnsi="Arial" w:cs="Arial"/>
                <w:b/>
                <w:bCs/>
                <w:sz w:val="16"/>
                <w:szCs w:val="16"/>
              </w:rPr>
              <w:t>Total</w:t>
            </w:r>
          </w:p>
        </w:tc>
      </w:tr>
      <w:tr w:rsidR="00BA3275" w14:paraId="797E0AD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D29D2C0" w14:textId="302FA650" w:rsidR="00BA3275" w:rsidRDefault="00000000">
            <w:pPr>
              <w:rPr>
                <w:rFonts w:eastAsia="Times New Roman"/>
              </w:rPr>
            </w:pPr>
            <w:r>
              <w:rPr>
                <w:rFonts w:ascii="Arial" w:eastAsia="Times New Roman" w:hAnsi="Arial" w:cs="Arial"/>
                <w:sz w:val="16"/>
                <w:szCs w:val="16"/>
              </w:rPr>
              <w:t>Outros Passivos Financeiros</w:t>
            </w:r>
            <w:r w:rsidR="00EB1804">
              <w:rPr>
                <w:rFonts w:ascii="Arial" w:eastAsia="Times New Roman" w:hAnsi="Arial" w:cs="Arial"/>
                <w:sz w:val="16"/>
                <w:szCs w:val="16"/>
              </w:rPr>
              <w:t xml:space="preserve"> (15.2)</w:t>
            </w:r>
          </w:p>
        </w:tc>
        <w:tc>
          <w:tcPr>
            <w:tcW w:w="0" w:type="auto"/>
            <w:tcBorders>
              <w:top w:val="outset" w:sz="6" w:space="0" w:color="auto"/>
              <w:left w:val="outset" w:sz="6" w:space="0" w:color="auto"/>
              <w:bottom w:val="outset" w:sz="6" w:space="0" w:color="auto"/>
              <w:right w:val="outset" w:sz="6" w:space="0" w:color="auto"/>
            </w:tcBorders>
            <w:vAlign w:val="center"/>
            <w:hideMark/>
          </w:tcPr>
          <w:p w14:paraId="0886EC4A" w14:textId="77777777" w:rsidR="00BA3275" w:rsidRDefault="00000000" w:rsidP="009F4CE0">
            <w:pPr>
              <w:jc w:val="right"/>
              <w:rPr>
                <w:rFonts w:eastAsia="Times New Roman"/>
              </w:rPr>
            </w:pPr>
            <w:r>
              <w:rPr>
                <w:rFonts w:ascii="Arial" w:eastAsia="Times New Roman" w:hAnsi="Arial" w:cs="Arial"/>
                <w:sz w:val="16"/>
                <w:szCs w:val="16"/>
              </w:rPr>
              <w:t>8.737,28</w:t>
            </w:r>
          </w:p>
        </w:tc>
        <w:tc>
          <w:tcPr>
            <w:tcW w:w="0" w:type="auto"/>
            <w:tcBorders>
              <w:top w:val="outset" w:sz="6" w:space="0" w:color="auto"/>
              <w:left w:val="outset" w:sz="6" w:space="0" w:color="auto"/>
              <w:bottom w:val="outset" w:sz="6" w:space="0" w:color="auto"/>
              <w:right w:val="outset" w:sz="6" w:space="0" w:color="auto"/>
            </w:tcBorders>
            <w:vAlign w:val="center"/>
            <w:hideMark/>
          </w:tcPr>
          <w:p w14:paraId="3B2392DF" w14:textId="77777777" w:rsidR="00BA3275" w:rsidRDefault="00000000" w:rsidP="009F4CE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EC6537F" w14:textId="77777777" w:rsidR="00BA3275" w:rsidRDefault="00000000" w:rsidP="009F4CE0">
            <w:pPr>
              <w:jc w:val="right"/>
              <w:rPr>
                <w:rFonts w:eastAsia="Times New Roman"/>
              </w:rPr>
            </w:pPr>
            <w:r>
              <w:rPr>
                <w:rFonts w:ascii="Arial" w:eastAsia="Times New Roman" w:hAnsi="Arial" w:cs="Arial"/>
                <w:sz w:val="16"/>
                <w:szCs w:val="16"/>
              </w:rPr>
              <w:t>8.737,28</w:t>
            </w:r>
          </w:p>
        </w:tc>
      </w:tr>
      <w:tr w:rsidR="00BA3275" w14:paraId="7D1D1F3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3730D42" w14:textId="32A1AC26" w:rsidR="00BA3275" w:rsidRDefault="00000000">
            <w:pPr>
              <w:rPr>
                <w:rFonts w:eastAsia="Times New Roman"/>
              </w:rPr>
            </w:pPr>
            <w:r>
              <w:rPr>
                <w:rFonts w:ascii="Arial" w:eastAsia="Times New Roman" w:hAnsi="Arial" w:cs="Arial"/>
                <w:sz w:val="16"/>
                <w:szCs w:val="16"/>
              </w:rPr>
              <w:t>Obrigações por Empréstimos e Repasses</w:t>
            </w:r>
            <w:r w:rsidR="00EB1804">
              <w:rPr>
                <w:rFonts w:ascii="Arial" w:eastAsia="Times New Roman" w:hAnsi="Arial" w:cs="Arial"/>
                <w:sz w:val="16"/>
                <w:szCs w:val="16"/>
              </w:rPr>
              <w:t xml:space="preserve"> (15.3)</w:t>
            </w:r>
          </w:p>
        </w:tc>
        <w:tc>
          <w:tcPr>
            <w:tcW w:w="0" w:type="auto"/>
            <w:tcBorders>
              <w:top w:val="outset" w:sz="6" w:space="0" w:color="auto"/>
              <w:left w:val="outset" w:sz="6" w:space="0" w:color="auto"/>
              <w:bottom w:val="outset" w:sz="6" w:space="0" w:color="auto"/>
              <w:right w:val="outset" w:sz="6" w:space="0" w:color="auto"/>
            </w:tcBorders>
            <w:vAlign w:val="center"/>
            <w:hideMark/>
          </w:tcPr>
          <w:p w14:paraId="1FD08282" w14:textId="77777777" w:rsidR="00BA3275" w:rsidRDefault="00000000" w:rsidP="009F4CE0">
            <w:pPr>
              <w:jc w:val="right"/>
              <w:rPr>
                <w:rFonts w:eastAsia="Times New Roman"/>
              </w:rPr>
            </w:pPr>
            <w:r>
              <w:rPr>
                <w:rFonts w:ascii="Arial" w:eastAsia="Times New Roman" w:hAnsi="Arial" w:cs="Arial"/>
                <w:sz w:val="16"/>
                <w:szCs w:val="16"/>
              </w:rPr>
              <w:t>209.436,98</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B6D80" w14:textId="77777777" w:rsidR="00BA3275" w:rsidRDefault="00000000" w:rsidP="009F4CE0">
            <w:pPr>
              <w:jc w:val="right"/>
              <w:rPr>
                <w:rFonts w:eastAsia="Times New Roman"/>
              </w:rPr>
            </w:pPr>
            <w:r>
              <w:rPr>
                <w:rFonts w:ascii="Arial" w:eastAsia="Times New Roman" w:hAnsi="Arial" w:cs="Arial"/>
                <w:sz w:val="16"/>
                <w:szCs w:val="16"/>
              </w:rPr>
              <w:t>141.793,25</w:t>
            </w:r>
          </w:p>
        </w:tc>
        <w:tc>
          <w:tcPr>
            <w:tcW w:w="0" w:type="auto"/>
            <w:tcBorders>
              <w:top w:val="outset" w:sz="6" w:space="0" w:color="auto"/>
              <w:left w:val="outset" w:sz="6" w:space="0" w:color="auto"/>
              <w:bottom w:val="outset" w:sz="6" w:space="0" w:color="auto"/>
              <w:right w:val="outset" w:sz="6" w:space="0" w:color="auto"/>
            </w:tcBorders>
            <w:vAlign w:val="center"/>
            <w:hideMark/>
          </w:tcPr>
          <w:p w14:paraId="26148ACA" w14:textId="77777777" w:rsidR="00BA3275" w:rsidRDefault="00000000" w:rsidP="009F4CE0">
            <w:pPr>
              <w:jc w:val="right"/>
              <w:rPr>
                <w:rFonts w:eastAsia="Times New Roman"/>
              </w:rPr>
            </w:pPr>
            <w:r>
              <w:rPr>
                <w:rFonts w:ascii="Arial" w:eastAsia="Times New Roman" w:hAnsi="Arial" w:cs="Arial"/>
                <w:sz w:val="16"/>
                <w:szCs w:val="16"/>
              </w:rPr>
              <w:t>351.230,23</w:t>
            </w:r>
          </w:p>
        </w:tc>
      </w:tr>
      <w:tr w:rsidR="00BA3275" w14:paraId="15BA8B4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142F417" w14:textId="3148B0F1" w:rsidR="00BA3275" w:rsidRDefault="00000000">
            <w:pPr>
              <w:rPr>
                <w:rFonts w:eastAsia="Times New Roman"/>
              </w:rPr>
            </w:pPr>
            <w:r>
              <w:rPr>
                <w:rFonts w:ascii="Arial" w:eastAsia="Times New Roman" w:hAnsi="Arial" w:cs="Arial"/>
                <w:sz w:val="16"/>
                <w:szCs w:val="16"/>
              </w:rPr>
              <w:t>Cobrança e Arrecadação de Tributos e Assemelhados</w:t>
            </w:r>
            <w:r w:rsidR="00EB1804">
              <w:rPr>
                <w:rFonts w:ascii="Arial" w:eastAsia="Times New Roman" w:hAnsi="Arial" w:cs="Arial"/>
                <w:sz w:val="16"/>
                <w:szCs w:val="16"/>
              </w:rPr>
              <w:t xml:space="preserve"> (15.4)</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B0D44" w14:textId="77777777" w:rsidR="00BA3275" w:rsidRDefault="00000000" w:rsidP="009F4CE0">
            <w:pPr>
              <w:jc w:val="right"/>
              <w:rPr>
                <w:rFonts w:eastAsia="Times New Roman"/>
              </w:rPr>
            </w:pPr>
            <w:r>
              <w:rPr>
                <w:rFonts w:ascii="Arial" w:eastAsia="Times New Roman" w:hAnsi="Arial" w:cs="Arial"/>
                <w:sz w:val="16"/>
                <w:szCs w:val="16"/>
              </w:rPr>
              <w:t>633.354,76</w:t>
            </w:r>
          </w:p>
        </w:tc>
        <w:tc>
          <w:tcPr>
            <w:tcW w:w="0" w:type="auto"/>
            <w:tcBorders>
              <w:top w:val="outset" w:sz="6" w:space="0" w:color="auto"/>
              <w:left w:val="outset" w:sz="6" w:space="0" w:color="auto"/>
              <w:bottom w:val="outset" w:sz="6" w:space="0" w:color="auto"/>
              <w:right w:val="outset" w:sz="6" w:space="0" w:color="auto"/>
            </w:tcBorders>
            <w:vAlign w:val="center"/>
            <w:hideMark/>
          </w:tcPr>
          <w:p w14:paraId="3758CDA9" w14:textId="77777777" w:rsidR="00BA3275" w:rsidRDefault="00000000" w:rsidP="009F4CE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68BB5" w14:textId="77777777" w:rsidR="00BA3275" w:rsidRDefault="00000000" w:rsidP="009F4CE0">
            <w:pPr>
              <w:jc w:val="right"/>
              <w:rPr>
                <w:rFonts w:eastAsia="Times New Roman"/>
              </w:rPr>
            </w:pPr>
            <w:r>
              <w:rPr>
                <w:rFonts w:ascii="Arial" w:eastAsia="Times New Roman" w:hAnsi="Arial" w:cs="Arial"/>
                <w:sz w:val="16"/>
                <w:szCs w:val="16"/>
              </w:rPr>
              <w:t>633.354,76</w:t>
            </w:r>
          </w:p>
        </w:tc>
      </w:tr>
      <w:tr w:rsidR="00BA3275" w14:paraId="66544D6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07CF0B1" w14:textId="5B14CC35" w:rsidR="00BA3275" w:rsidRDefault="00000000">
            <w:pPr>
              <w:rPr>
                <w:rFonts w:eastAsia="Times New Roman"/>
              </w:rPr>
            </w:pPr>
            <w:r>
              <w:rPr>
                <w:rFonts w:ascii="Arial" w:eastAsia="Times New Roman" w:hAnsi="Arial" w:cs="Arial"/>
                <w:sz w:val="16"/>
                <w:szCs w:val="16"/>
              </w:rPr>
              <w:t>Obrigações Fiscais, Correntes e Diferidas</w:t>
            </w:r>
            <w:r w:rsidR="00EB1804">
              <w:rPr>
                <w:rFonts w:ascii="Arial" w:eastAsia="Times New Roman" w:hAnsi="Arial" w:cs="Arial"/>
                <w:sz w:val="16"/>
                <w:szCs w:val="16"/>
              </w:rPr>
              <w:t xml:space="preserve"> (15.5)</w:t>
            </w:r>
          </w:p>
        </w:tc>
        <w:tc>
          <w:tcPr>
            <w:tcW w:w="0" w:type="auto"/>
            <w:tcBorders>
              <w:top w:val="outset" w:sz="6" w:space="0" w:color="auto"/>
              <w:left w:val="outset" w:sz="6" w:space="0" w:color="auto"/>
              <w:bottom w:val="outset" w:sz="6" w:space="0" w:color="auto"/>
              <w:right w:val="outset" w:sz="6" w:space="0" w:color="auto"/>
            </w:tcBorders>
            <w:vAlign w:val="center"/>
            <w:hideMark/>
          </w:tcPr>
          <w:p w14:paraId="442A72FE" w14:textId="77777777" w:rsidR="00BA3275" w:rsidRDefault="00000000" w:rsidP="009F4CE0">
            <w:pPr>
              <w:jc w:val="right"/>
              <w:rPr>
                <w:rFonts w:eastAsia="Times New Roman"/>
              </w:rPr>
            </w:pPr>
            <w:r>
              <w:rPr>
                <w:rFonts w:ascii="Arial" w:eastAsia="Times New Roman" w:hAnsi="Arial" w:cs="Arial"/>
                <w:sz w:val="16"/>
                <w:szCs w:val="16"/>
              </w:rPr>
              <w:t>623.590,18</w:t>
            </w:r>
          </w:p>
        </w:tc>
        <w:tc>
          <w:tcPr>
            <w:tcW w:w="0" w:type="auto"/>
            <w:tcBorders>
              <w:top w:val="outset" w:sz="6" w:space="0" w:color="auto"/>
              <w:left w:val="outset" w:sz="6" w:space="0" w:color="auto"/>
              <w:bottom w:val="outset" w:sz="6" w:space="0" w:color="auto"/>
              <w:right w:val="outset" w:sz="6" w:space="0" w:color="auto"/>
            </w:tcBorders>
            <w:vAlign w:val="center"/>
            <w:hideMark/>
          </w:tcPr>
          <w:p w14:paraId="2B8A590F" w14:textId="77777777" w:rsidR="00BA3275" w:rsidRDefault="00000000" w:rsidP="009F4CE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8765AB" w14:textId="77777777" w:rsidR="00BA3275" w:rsidRDefault="00000000" w:rsidP="009F4CE0">
            <w:pPr>
              <w:jc w:val="right"/>
              <w:rPr>
                <w:rFonts w:eastAsia="Times New Roman"/>
              </w:rPr>
            </w:pPr>
            <w:r>
              <w:rPr>
                <w:rFonts w:ascii="Arial" w:eastAsia="Times New Roman" w:hAnsi="Arial" w:cs="Arial"/>
                <w:sz w:val="16"/>
                <w:szCs w:val="16"/>
              </w:rPr>
              <w:t>623.590,18</w:t>
            </w:r>
          </w:p>
        </w:tc>
      </w:tr>
      <w:tr w:rsidR="00BA3275" w14:paraId="3069731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B2B35A0" w14:textId="6FB0D044" w:rsidR="00BA3275" w:rsidRDefault="00000000">
            <w:pPr>
              <w:rPr>
                <w:rFonts w:eastAsia="Times New Roman"/>
              </w:rPr>
            </w:pPr>
            <w:r>
              <w:rPr>
                <w:rFonts w:ascii="Arial" w:eastAsia="Times New Roman" w:hAnsi="Arial" w:cs="Arial"/>
                <w:sz w:val="16"/>
                <w:szCs w:val="16"/>
              </w:rPr>
              <w:t>Outras Obrigações</w:t>
            </w:r>
            <w:r w:rsidR="00EB1804">
              <w:rPr>
                <w:rFonts w:ascii="Arial" w:eastAsia="Times New Roman" w:hAnsi="Arial" w:cs="Arial"/>
                <w:sz w:val="16"/>
                <w:szCs w:val="16"/>
              </w:rPr>
              <w:t xml:space="preserve"> (15.7)</w:t>
            </w:r>
          </w:p>
        </w:tc>
        <w:tc>
          <w:tcPr>
            <w:tcW w:w="0" w:type="auto"/>
            <w:tcBorders>
              <w:top w:val="outset" w:sz="6" w:space="0" w:color="auto"/>
              <w:left w:val="outset" w:sz="6" w:space="0" w:color="auto"/>
              <w:bottom w:val="outset" w:sz="6" w:space="0" w:color="auto"/>
              <w:right w:val="outset" w:sz="6" w:space="0" w:color="auto"/>
            </w:tcBorders>
            <w:vAlign w:val="center"/>
            <w:hideMark/>
          </w:tcPr>
          <w:p w14:paraId="53B50B99" w14:textId="77777777" w:rsidR="00BA3275" w:rsidRDefault="00000000" w:rsidP="009F4CE0">
            <w:pPr>
              <w:jc w:val="right"/>
              <w:rPr>
                <w:rFonts w:eastAsia="Times New Roman"/>
              </w:rPr>
            </w:pPr>
            <w:r>
              <w:rPr>
                <w:rFonts w:ascii="Arial" w:eastAsia="Times New Roman" w:hAnsi="Arial" w:cs="Arial"/>
                <w:sz w:val="16"/>
                <w:szCs w:val="16"/>
              </w:rPr>
              <w:t>14.900.512,15</w:t>
            </w:r>
          </w:p>
        </w:tc>
        <w:tc>
          <w:tcPr>
            <w:tcW w:w="0" w:type="auto"/>
            <w:tcBorders>
              <w:top w:val="outset" w:sz="6" w:space="0" w:color="auto"/>
              <w:left w:val="outset" w:sz="6" w:space="0" w:color="auto"/>
              <w:bottom w:val="outset" w:sz="6" w:space="0" w:color="auto"/>
              <w:right w:val="outset" w:sz="6" w:space="0" w:color="auto"/>
            </w:tcBorders>
            <w:vAlign w:val="center"/>
            <w:hideMark/>
          </w:tcPr>
          <w:p w14:paraId="638AC991" w14:textId="77777777" w:rsidR="00BA3275" w:rsidRDefault="00000000" w:rsidP="009F4CE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E63A979" w14:textId="77777777" w:rsidR="00BA3275" w:rsidRDefault="00000000" w:rsidP="009F4CE0">
            <w:pPr>
              <w:jc w:val="right"/>
              <w:rPr>
                <w:rFonts w:eastAsia="Times New Roman"/>
              </w:rPr>
            </w:pPr>
            <w:r>
              <w:rPr>
                <w:rFonts w:ascii="Arial" w:eastAsia="Times New Roman" w:hAnsi="Arial" w:cs="Arial"/>
                <w:sz w:val="16"/>
                <w:szCs w:val="16"/>
              </w:rPr>
              <w:t>14.900.512,15</w:t>
            </w:r>
          </w:p>
        </w:tc>
      </w:tr>
      <w:tr w:rsidR="00BA3275" w14:paraId="2A20270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870A439" w14:textId="77777777" w:rsidR="00BA3275" w:rsidRDefault="00000000">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59165D" w14:textId="77777777" w:rsidR="00BA3275" w:rsidRDefault="00000000" w:rsidP="009F4CE0">
            <w:pPr>
              <w:jc w:val="right"/>
              <w:rPr>
                <w:rFonts w:eastAsia="Times New Roman"/>
              </w:rPr>
            </w:pPr>
            <w:r>
              <w:rPr>
                <w:rFonts w:ascii="Arial" w:eastAsia="Times New Roman" w:hAnsi="Arial" w:cs="Arial"/>
                <w:b/>
                <w:bCs/>
                <w:sz w:val="16"/>
                <w:szCs w:val="16"/>
              </w:rPr>
              <w:t>16.375.631,35</w:t>
            </w:r>
          </w:p>
        </w:tc>
        <w:tc>
          <w:tcPr>
            <w:tcW w:w="0" w:type="auto"/>
            <w:tcBorders>
              <w:top w:val="outset" w:sz="6" w:space="0" w:color="auto"/>
              <w:left w:val="outset" w:sz="6" w:space="0" w:color="auto"/>
              <w:bottom w:val="outset" w:sz="6" w:space="0" w:color="auto"/>
              <w:right w:val="outset" w:sz="6" w:space="0" w:color="auto"/>
            </w:tcBorders>
            <w:vAlign w:val="center"/>
            <w:hideMark/>
          </w:tcPr>
          <w:p w14:paraId="18BBF110" w14:textId="77777777" w:rsidR="00BA3275" w:rsidRDefault="00000000" w:rsidP="009F4CE0">
            <w:pPr>
              <w:jc w:val="right"/>
              <w:rPr>
                <w:rFonts w:eastAsia="Times New Roman"/>
              </w:rPr>
            </w:pPr>
            <w:r>
              <w:rPr>
                <w:rFonts w:ascii="Arial" w:eastAsia="Times New Roman" w:hAnsi="Arial" w:cs="Arial"/>
                <w:b/>
                <w:bCs/>
                <w:sz w:val="16"/>
                <w:szCs w:val="16"/>
              </w:rPr>
              <w:t>141.793,25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D1BAF47" w14:textId="77777777" w:rsidR="00BA3275" w:rsidRDefault="00000000" w:rsidP="009F4CE0">
            <w:pPr>
              <w:jc w:val="right"/>
              <w:rPr>
                <w:rFonts w:eastAsia="Times New Roman"/>
              </w:rPr>
            </w:pPr>
            <w:r>
              <w:rPr>
                <w:rFonts w:ascii="Arial" w:eastAsia="Times New Roman" w:hAnsi="Arial" w:cs="Arial"/>
                <w:b/>
                <w:bCs/>
                <w:sz w:val="16"/>
                <w:szCs w:val="16"/>
              </w:rPr>
              <w:t>16.517.424,60</w:t>
            </w:r>
          </w:p>
        </w:tc>
      </w:tr>
    </w:tbl>
    <w:p w14:paraId="746AA31E" w14:textId="77777777" w:rsidR="00BA3275" w:rsidRDefault="00000000">
      <w:pPr>
        <w:pStyle w:val="NormalWeb"/>
      </w:pPr>
      <w:r>
        <w:rPr>
          <w:rFonts w:ascii="Arial" w:hAnsi="Arial" w:cs="Arial"/>
          <w:b/>
          <w:bCs/>
          <w:sz w:val="20"/>
          <w:szCs w:val="20"/>
        </w:rPr>
        <w:t>15.2 Outros Passivos Financeiros</w:t>
      </w:r>
    </w:p>
    <w:p w14:paraId="3A009F2C" w14:textId="77777777" w:rsidR="00BA3275" w:rsidRDefault="00000000">
      <w:pPr>
        <w:pStyle w:val="NormalWeb"/>
        <w:jc w:val="both"/>
      </w:pPr>
      <w:r>
        <w:rPr>
          <w:rFonts w:ascii="Arial" w:hAnsi="Arial" w:cs="Arial"/>
          <w:sz w:val="20"/>
          <w:szCs w:val="20"/>
        </w:rPr>
        <w:t>Os recursos em trânsito de terceiros, estão registrados:</w:t>
      </w:r>
    </w:p>
    <w:tbl>
      <w:tblPr>
        <w:tblW w:w="5000" w:type="pct"/>
        <w:tblCellMar>
          <w:left w:w="0" w:type="dxa"/>
          <w:right w:w="0" w:type="dxa"/>
        </w:tblCellMar>
        <w:tblLook w:val="04A0" w:firstRow="1" w:lastRow="0" w:firstColumn="1" w:lastColumn="0" w:noHBand="0" w:noVBand="1"/>
      </w:tblPr>
      <w:tblGrid>
        <w:gridCol w:w="5179"/>
        <w:gridCol w:w="1374"/>
        <w:gridCol w:w="1971"/>
        <w:gridCol w:w="1098"/>
      </w:tblGrid>
      <w:tr w:rsidR="00BA3275" w14:paraId="52F1A5F4"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4E73CC4" w14:textId="77777777" w:rsidR="00BA3275" w:rsidRDefault="00000000">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613069D"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29D5F0CE"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78514B" w14:textId="77777777" w:rsidR="00BA3275" w:rsidRDefault="00BA327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D360F1" w14:textId="77777777" w:rsidR="00BA3275"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AEE51" w14:textId="77777777" w:rsidR="00BA3275"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58180" w14:textId="77777777" w:rsidR="00BA3275" w:rsidRDefault="00000000">
            <w:pPr>
              <w:jc w:val="center"/>
              <w:rPr>
                <w:rFonts w:eastAsia="Times New Roman"/>
              </w:rPr>
            </w:pPr>
            <w:r>
              <w:rPr>
                <w:rFonts w:ascii="Arial" w:eastAsia="Times New Roman" w:hAnsi="Arial" w:cs="Arial"/>
                <w:b/>
                <w:bCs/>
                <w:sz w:val="16"/>
                <w:szCs w:val="16"/>
              </w:rPr>
              <w:t>Total</w:t>
            </w:r>
          </w:p>
        </w:tc>
      </w:tr>
      <w:tr w:rsidR="00BA3275" w14:paraId="6A0D273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F83D87E" w14:textId="77777777" w:rsidR="00BA3275" w:rsidRDefault="00000000">
            <w:pPr>
              <w:rPr>
                <w:rFonts w:eastAsia="Times New Roman"/>
              </w:rPr>
            </w:pPr>
            <w:r>
              <w:rPr>
                <w:rFonts w:ascii="Arial" w:eastAsia="Times New Roman" w:hAnsi="Arial" w:cs="Arial"/>
                <w:sz w:val="16"/>
                <w:szCs w:val="16"/>
              </w:rPr>
              <w:t>Cobrança de Terceiros em Trânsito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0152274" w14:textId="77777777" w:rsidR="00BA3275" w:rsidRDefault="00000000" w:rsidP="009F4CE0">
            <w:pPr>
              <w:jc w:val="right"/>
              <w:rPr>
                <w:rFonts w:eastAsia="Times New Roman"/>
              </w:rPr>
            </w:pPr>
            <w:r>
              <w:rPr>
                <w:rFonts w:ascii="Arial" w:eastAsia="Times New Roman" w:hAnsi="Arial" w:cs="Arial"/>
                <w:sz w:val="16"/>
                <w:szCs w:val="16"/>
              </w:rPr>
              <w:t>3.307,65</w:t>
            </w:r>
          </w:p>
        </w:tc>
        <w:tc>
          <w:tcPr>
            <w:tcW w:w="0" w:type="auto"/>
            <w:tcBorders>
              <w:top w:val="outset" w:sz="6" w:space="0" w:color="auto"/>
              <w:left w:val="outset" w:sz="6" w:space="0" w:color="auto"/>
              <w:bottom w:val="outset" w:sz="6" w:space="0" w:color="auto"/>
              <w:right w:val="outset" w:sz="6" w:space="0" w:color="auto"/>
            </w:tcBorders>
            <w:vAlign w:val="center"/>
            <w:hideMark/>
          </w:tcPr>
          <w:p w14:paraId="55D79D52" w14:textId="77777777" w:rsidR="00BA3275" w:rsidRDefault="00000000" w:rsidP="009F4CE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B432E" w14:textId="77777777" w:rsidR="00BA3275" w:rsidRDefault="00000000">
            <w:pPr>
              <w:jc w:val="right"/>
              <w:rPr>
                <w:rFonts w:eastAsia="Times New Roman"/>
              </w:rPr>
            </w:pPr>
            <w:r>
              <w:rPr>
                <w:rFonts w:ascii="Arial" w:eastAsia="Times New Roman" w:hAnsi="Arial" w:cs="Arial"/>
                <w:sz w:val="16"/>
                <w:szCs w:val="16"/>
              </w:rPr>
              <w:t>3.307,65</w:t>
            </w:r>
          </w:p>
        </w:tc>
      </w:tr>
      <w:tr w:rsidR="00BA3275" w14:paraId="5868227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5A6F560" w14:textId="77777777" w:rsidR="00BA3275" w:rsidRDefault="00000000">
            <w:pPr>
              <w:rPr>
                <w:rFonts w:eastAsia="Times New Roman"/>
              </w:rPr>
            </w:pPr>
            <w:r>
              <w:rPr>
                <w:rFonts w:ascii="Arial" w:eastAsia="Times New Roman" w:hAnsi="Arial" w:cs="Arial"/>
                <w:sz w:val="16"/>
                <w:szCs w:val="16"/>
              </w:rPr>
              <w:t>Outros Recursos em Trânsito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1202FC7" w14:textId="77777777" w:rsidR="00BA3275" w:rsidRDefault="00000000" w:rsidP="009F4CE0">
            <w:pPr>
              <w:jc w:val="right"/>
              <w:rPr>
                <w:rFonts w:eastAsia="Times New Roman"/>
              </w:rPr>
            </w:pPr>
            <w:r>
              <w:rPr>
                <w:rFonts w:ascii="Arial" w:eastAsia="Times New Roman" w:hAnsi="Arial" w:cs="Arial"/>
                <w:sz w:val="16"/>
                <w:szCs w:val="16"/>
              </w:rPr>
              <w:t>5.429,63</w:t>
            </w:r>
          </w:p>
        </w:tc>
        <w:tc>
          <w:tcPr>
            <w:tcW w:w="0" w:type="auto"/>
            <w:tcBorders>
              <w:top w:val="outset" w:sz="6" w:space="0" w:color="auto"/>
              <w:left w:val="outset" w:sz="6" w:space="0" w:color="auto"/>
              <w:bottom w:val="outset" w:sz="6" w:space="0" w:color="auto"/>
              <w:right w:val="outset" w:sz="6" w:space="0" w:color="auto"/>
            </w:tcBorders>
            <w:vAlign w:val="center"/>
            <w:hideMark/>
          </w:tcPr>
          <w:p w14:paraId="0AD5BF36" w14:textId="77777777" w:rsidR="00BA3275" w:rsidRDefault="00000000" w:rsidP="009F4CE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152CE5" w14:textId="77777777" w:rsidR="00BA3275" w:rsidRDefault="00000000">
            <w:pPr>
              <w:jc w:val="right"/>
              <w:rPr>
                <w:rFonts w:eastAsia="Times New Roman"/>
              </w:rPr>
            </w:pPr>
            <w:r>
              <w:rPr>
                <w:rFonts w:ascii="Arial" w:eastAsia="Times New Roman" w:hAnsi="Arial" w:cs="Arial"/>
                <w:sz w:val="16"/>
                <w:szCs w:val="16"/>
              </w:rPr>
              <w:t>5.429,63</w:t>
            </w:r>
          </w:p>
        </w:tc>
      </w:tr>
      <w:tr w:rsidR="00BA3275" w14:paraId="0184061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DFED778" w14:textId="77777777" w:rsidR="00BA3275"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49CDED4" w14:textId="77777777" w:rsidR="00BA3275" w:rsidRDefault="00000000" w:rsidP="009F4CE0">
            <w:pPr>
              <w:jc w:val="right"/>
              <w:rPr>
                <w:rFonts w:eastAsia="Times New Roman"/>
              </w:rPr>
            </w:pPr>
            <w:r>
              <w:rPr>
                <w:rFonts w:ascii="Arial" w:eastAsia="Times New Roman" w:hAnsi="Arial" w:cs="Arial"/>
                <w:b/>
                <w:bCs/>
                <w:sz w:val="16"/>
                <w:szCs w:val="16"/>
              </w:rPr>
              <w:t>8.737,28</w:t>
            </w:r>
          </w:p>
        </w:tc>
        <w:tc>
          <w:tcPr>
            <w:tcW w:w="0" w:type="auto"/>
            <w:tcBorders>
              <w:top w:val="outset" w:sz="6" w:space="0" w:color="auto"/>
              <w:left w:val="outset" w:sz="6" w:space="0" w:color="auto"/>
              <w:bottom w:val="outset" w:sz="6" w:space="0" w:color="auto"/>
              <w:right w:val="outset" w:sz="6" w:space="0" w:color="auto"/>
            </w:tcBorders>
            <w:vAlign w:val="center"/>
            <w:hideMark/>
          </w:tcPr>
          <w:p w14:paraId="311D2264" w14:textId="77777777" w:rsidR="00BA3275" w:rsidRDefault="00000000" w:rsidP="009F4CE0">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BD12B8" w14:textId="77777777" w:rsidR="00BA3275" w:rsidRDefault="00000000">
            <w:pPr>
              <w:jc w:val="right"/>
              <w:rPr>
                <w:rFonts w:eastAsia="Times New Roman"/>
              </w:rPr>
            </w:pPr>
            <w:r>
              <w:rPr>
                <w:rFonts w:ascii="Arial" w:eastAsia="Times New Roman" w:hAnsi="Arial" w:cs="Arial"/>
                <w:b/>
                <w:bCs/>
                <w:sz w:val="16"/>
                <w:szCs w:val="16"/>
              </w:rPr>
              <w:t>8.737,28</w:t>
            </w:r>
          </w:p>
        </w:tc>
      </w:tr>
    </w:tbl>
    <w:p w14:paraId="48EEC4FC" w14:textId="413492A5" w:rsidR="009F4CE0" w:rsidRDefault="009F4CE0" w:rsidP="009F4CE0">
      <w:pPr>
        <w:pStyle w:val="NormalWeb"/>
      </w:pPr>
      <w:r>
        <w:rPr>
          <w:rFonts w:ascii="Arial" w:hAnsi="Arial" w:cs="Arial"/>
          <w:b/>
          <w:bCs/>
          <w:sz w:val="20"/>
          <w:szCs w:val="20"/>
        </w:rPr>
        <w:t>15.3 Obrigações por Empréstimos e Repasses</w:t>
      </w:r>
    </w:p>
    <w:tbl>
      <w:tblPr>
        <w:tblW w:w="5000" w:type="pct"/>
        <w:tblCellMar>
          <w:left w:w="0" w:type="dxa"/>
          <w:right w:w="0" w:type="dxa"/>
        </w:tblCellMar>
        <w:tblLook w:val="04A0" w:firstRow="1" w:lastRow="0" w:firstColumn="1" w:lastColumn="0" w:noHBand="0" w:noVBand="1"/>
      </w:tblPr>
      <w:tblGrid>
        <w:gridCol w:w="2553"/>
        <w:gridCol w:w="2077"/>
        <w:gridCol w:w="2915"/>
        <w:gridCol w:w="2077"/>
      </w:tblGrid>
      <w:tr w:rsidR="009F4CE0" w14:paraId="276B963C" w14:textId="77777777" w:rsidTr="009F4CE0">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B07D463" w14:textId="77777777" w:rsidR="009F4CE0" w:rsidRDefault="009F4CE0" w:rsidP="00C22ADD">
            <w:pPr>
              <w:jc w:val="center"/>
              <w:rPr>
                <w:rFonts w:eastAsia="Times New Roman"/>
              </w:rPr>
            </w:pPr>
            <w:r>
              <w:rPr>
                <w:rFonts w:ascii="Arial" w:eastAsia="Times New Roman" w:hAnsi="Arial" w:cs="Arial"/>
                <w:b/>
                <w:bCs/>
                <w:sz w:val="16"/>
                <w:szCs w:val="16"/>
              </w:rPr>
              <w:t>Instituições</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66B8F77" w14:textId="77777777" w:rsidR="009F4CE0" w:rsidRDefault="009F4CE0" w:rsidP="00C22ADD">
            <w:pPr>
              <w:jc w:val="center"/>
              <w:rPr>
                <w:rFonts w:eastAsia="Times New Roman"/>
              </w:rPr>
            </w:pPr>
            <w:r>
              <w:rPr>
                <w:rFonts w:ascii="Arial" w:eastAsia="Times New Roman" w:hAnsi="Arial" w:cs="Arial"/>
                <w:b/>
                <w:bCs/>
                <w:sz w:val="16"/>
                <w:szCs w:val="16"/>
              </w:rPr>
              <w:t>30/06/2025</w:t>
            </w:r>
          </w:p>
        </w:tc>
      </w:tr>
      <w:tr w:rsidR="009F4CE0" w14:paraId="722AAC31" w14:textId="77777777" w:rsidTr="009F4CE0">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6F32A4" w14:textId="77777777" w:rsidR="009F4CE0" w:rsidRDefault="009F4CE0" w:rsidP="00C22AD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F6BC47" w14:textId="77777777" w:rsidR="009F4CE0" w:rsidRDefault="009F4CE0" w:rsidP="00C22ADD">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5A1F5EB" w14:textId="77777777" w:rsidR="009F4CE0" w:rsidRDefault="009F4CE0" w:rsidP="00C22ADD">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163F13F" w14:textId="77777777" w:rsidR="009F4CE0" w:rsidRDefault="009F4CE0" w:rsidP="00C22ADD">
            <w:pPr>
              <w:jc w:val="center"/>
              <w:rPr>
                <w:rFonts w:eastAsia="Times New Roman"/>
              </w:rPr>
            </w:pPr>
            <w:r>
              <w:rPr>
                <w:rFonts w:ascii="Arial" w:eastAsia="Times New Roman" w:hAnsi="Arial" w:cs="Arial"/>
                <w:b/>
                <w:bCs/>
                <w:sz w:val="16"/>
                <w:szCs w:val="16"/>
              </w:rPr>
              <w:t>Total</w:t>
            </w:r>
          </w:p>
        </w:tc>
      </w:tr>
      <w:tr w:rsidR="009F4CE0" w14:paraId="0EFCFAFD" w14:textId="77777777" w:rsidTr="009F4CE0">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A1CB761" w14:textId="77777777" w:rsidR="009F4CE0" w:rsidRDefault="009F4CE0" w:rsidP="00C22ADD">
            <w:pPr>
              <w:rPr>
                <w:rFonts w:eastAsia="Times New Roman"/>
              </w:rPr>
            </w:pPr>
            <w:r>
              <w:rPr>
                <w:rFonts w:ascii="Arial" w:eastAsia="Times New Roman" w:hAnsi="Arial" w:cs="Arial"/>
                <w:sz w:val="16"/>
                <w:szCs w:val="16"/>
              </w:rPr>
              <w:t>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6AB3F90D" w14:textId="77777777" w:rsidR="009F4CE0" w:rsidRDefault="009F4CE0" w:rsidP="00C22ADD">
            <w:pPr>
              <w:jc w:val="right"/>
              <w:rPr>
                <w:rFonts w:eastAsia="Times New Roman"/>
              </w:rPr>
            </w:pPr>
            <w:r>
              <w:rPr>
                <w:rFonts w:ascii="Arial" w:eastAsia="Times New Roman" w:hAnsi="Arial" w:cs="Arial"/>
                <w:sz w:val="16"/>
                <w:szCs w:val="16"/>
              </w:rPr>
              <w:t>209.436,98</w:t>
            </w:r>
          </w:p>
        </w:tc>
        <w:tc>
          <w:tcPr>
            <w:tcW w:w="0" w:type="auto"/>
            <w:tcBorders>
              <w:top w:val="outset" w:sz="6" w:space="0" w:color="auto"/>
              <w:left w:val="outset" w:sz="6" w:space="0" w:color="auto"/>
              <w:bottom w:val="outset" w:sz="6" w:space="0" w:color="auto"/>
              <w:right w:val="outset" w:sz="6" w:space="0" w:color="auto"/>
            </w:tcBorders>
            <w:vAlign w:val="center"/>
            <w:hideMark/>
          </w:tcPr>
          <w:p w14:paraId="15664862" w14:textId="77777777" w:rsidR="009F4CE0" w:rsidRDefault="009F4CE0" w:rsidP="00C22ADD">
            <w:pPr>
              <w:jc w:val="right"/>
              <w:rPr>
                <w:rFonts w:eastAsia="Times New Roman"/>
              </w:rPr>
            </w:pPr>
            <w:r>
              <w:rPr>
                <w:rFonts w:ascii="Arial" w:eastAsia="Times New Roman" w:hAnsi="Arial" w:cs="Arial"/>
                <w:sz w:val="16"/>
                <w:szCs w:val="16"/>
              </w:rPr>
              <w:t>141.793,25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FF39738" w14:textId="77777777" w:rsidR="009F4CE0" w:rsidRDefault="009F4CE0" w:rsidP="00C22ADD">
            <w:pPr>
              <w:jc w:val="right"/>
              <w:rPr>
                <w:rFonts w:eastAsia="Times New Roman"/>
              </w:rPr>
            </w:pPr>
            <w:r>
              <w:rPr>
                <w:rFonts w:ascii="Arial" w:eastAsia="Times New Roman" w:hAnsi="Arial" w:cs="Arial"/>
                <w:sz w:val="16"/>
                <w:szCs w:val="16"/>
              </w:rPr>
              <w:t>351.230,23</w:t>
            </w:r>
          </w:p>
        </w:tc>
      </w:tr>
      <w:tr w:rsidR="009F4CE0" w14:paraId="30217639" w14:textId="77777777" w:rsidTr="009F4CE0">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A3585DE" w14:textId="77777777" w:rsidR="009F4CE0" w:rsidRDefault="009F4CE0" w:rsidP="00C22ADD">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5D53D8" w14:textId="77777777" w:rsidR="009F4CE0" w:rsidRDefault="009F4CE0" w:rsidP="00C22ADD">
            <w:pPr>
              <w:jc w:val="right"/>
              <w:rPr>
                <w:rFonts w:eastAsia="Times New Roman"/>
              </w:rPr>
            </w:pPr>
            <w:r>
              <w:rPr>
                <w:rFonts w:ascii="Arial" w:eastAsia="Times New Roman" w:hAnsi="Arial" w:cs="Arial"/>
                <w:b/>
                <w:bCs/>
                <w:sz w:val="16"/>
                <w:szCs w:val="16"/>
              </w:rPr>
              <w:t>209.436,98</w:t>
            </w:r>
          </w:p>
        </w:tc>
        <w:tc>
          <w:tcPr>
            <w:tcW w:w="0" w:type="auto"/>
            <w:tcBorders>
              <w:top w:val="outset" w:sz="6" w:space="0" w:color="auto"/>
              <w:left w:val="outset" w:sz="6" w:space="0" w:color="auto"/>
              <w:bottom w:val="outset" w:sz="6" w:space="0" w:color="auto"/>
              <w:right w:val="outset" w:sz="6" w:space="0" w:color="auto"/>
            </w:tcBorders>
            <w:vAlign w:val="center"/>
            <w:hideMark/>
          </w:tcPr>
          <w:p w14:paraId="21662FCE" w14:textId="77777777" w:rsidR="009F4CE0" w:rsidRDefault="009F4CE0" w:rsidP="00C22ADD">
            <w:pPr>
              <w:jc w:val="right"/>
              <w:rPr>
                <w:rFonts w:eastAsia="Times New Roman"/>
              </w:rPr>
            </w:pPr>
            <w:r>
              <w:rPr>
                <w:rFonts w:ascii="Arial" w:eastAsia="Times New Roman" w:hAnsi="Arial" w:cs="Arial"/>
                <w:b/>
                <w:bCs/>
                <w:sz w:val="16"/>
                <w:szCs w:val="16"/>
              </w:rPr>
              <w:t>141.793,25</w:t>
            </w:r>
          </w:p>
        </w:tc>
        <w:tc>
          <w:tcPr>
            <w:tcW w:w="0" w:type="auto"/>
            <w:tcBorders>
              <w:top w:val="outset" w:sz="6" w:space="0" w:color="auto"/>
              <w:left w:val="outset" w:sz="6" w:space="0" w:color="auto"/>
              <w:bottom w:val="outset" w:sz="6" w:space="0" w:color="auto"/>
              <w:right w:val="outset" w:sz="6" w:space="0" w:color="auto"/>
            </w:tcBorders>
            <w:vAlign w:val="center"/>
            <w:hideMark/>
          </w:tcPr>
          <w:p w14:paraId="6844BD5D" w14:textId="77777777" w:rsidR="009F4CE0" w:rsidRDefault="009F4CE0" w:rsidP="00C22ADD">
            <w:pPr>
              <w:jc w:val="right"/>
              <w:rPr>
                <w:rFonts w:eastAsia="Times New Roman"/>
              </w:rPr>
            </w:pPr>
            <w:r>
              <w:rPr>
                <w:rFonts w:ascii="Arial" w:eastAsia="Times New Roman" w:hAnsi="Arial" w:cs="Arial"/>
                <w:b/>
                <w:bCs/>
                <w:sz w:val="16"/>
                <w:szCs w:val="16"/>
              </w:rPr>
              <w:t>351.230,23</w:t>
            </w:r>
          </w:p>
        </w:tc>
      </w:tr>
    </w:tbl>
    <w:p w14:paraId="244B8741" w14:textId="5E07B960" w:rsidR="009F4CE0" w:rsidRDefault="009F4CE0" w:rsidP="009F4CE0">
      <w:pPr>
        <w:pStyle w:val="NormalWeb"/>
        <w:jc w:val="both"/>
      </w:pPr>
      <w:r>
        <w:rPr>
          <w:rFonts w:ascii="Arial" w:hAnsi="Arial" w:cs="Arial"/>
          <w:sz w:val="20"/>
          <w:szCs w:val="20"/>
        </w:rPr>
        <w:t xml:space="preserve">As taxas de juros praticadas nas operações de empréstimo com o Banco Sicoob correspondem a uma média de 10,79% ao ano, com vencimento até 13/07/2026. </w:t>
      </w:r>
    </w:p>
    <w:p w14:paraId="27CAA4C1" w14:textId="7A918063" w:rsidR="00BA3275" w:rsidRDefault="00000000">
      <w:pPr>
        <w:pStyle w:val="NormalWeb"/>
      </w:pPr>
      <w:r>
        <w:rPr>
          <w:rFonts w:ascii="Arial" w:hAnsi="Arial" w:cs="Arial"/>
          <w:b/>
          <w:bCs/>
          <w:sz w:val="20"/>
          <w:szCs w:val="20"/>
        </w:rPr>
        <w:t>15.</w:t>
      </w:r>
      <w:r w:rsidR="009F4CE0">
        <w:rPr>
          <w:rFonts w:ascii="Arial" w:hAnsi="Arial" w:cs="Arial"/>
          <w:b/>
          <w:bCs/>
          <w:sz w:val="20"/>
          <w:szCs w:val="20"/>
        </w:rPr>
        <w:t>4</w:t>
      </w:r>
      <w:r>
        <w:rPr>
          <w:rFonts w:ascii="Arial" w:hAnsi="Arial" w:cs="Arial"/>
          <w:b/>
          <w:bCs/>
          <w:sz w:val="20"/>
          <w:szCs w:val="20"/>
        </w:rPr>
        <w:t xml:space="preserve"> Cobrança e Arrecadação de Tributos e Assemelhados</w:t>
      </w:r>
    </w:p>
    <w:p w14:paraId="608A19B4" w14:textId="1AAC1284" w:rsidR="00557E7F" w:rsidRDefault="00000000">
      <w:pPr>
        <w:pStyle w:val="NormalWeb"/>
        <w:jc w:val="both"/>
      </w:pPr>
      <w:r>
        <w:rPr>
          <w:rFonts w:ascii="Arial" w:hAnsi="Arial" w:cs="Arial"/>
          <w:sz w:val="20"/>
          <w:szCs w:val="20"/>
        </w:rPr>
        <w:t>As cobrança e arrecadação de tributos e assemelhados, estão registrados:</w:t>
      </w:r>
    </w:p>
    <w:tbl>
      <w:tblPr>
        <w:tblW w:w="5000" w:type="pct"/>
        <w:tblCellMar>
          <w:left w:w="0" w:type="dxa"/>
          <w:right w:w="0" w:type="dxa"/>
        </w:tblCellMar>
        <w:tblLook w:val="04A0" w:firstRow="1" w:lastRow="0" w:firstColumn="1" w:lastColumn="0" w:noHBand="0" w:noVBand="1"/>
      </w:tblPr>
      <w:tblGrid>
        <w:gridCol w:w="5881"/>
        <w:gridCol w:w="1099"/>
        <w:gridCol w:w="1543"/>
        <w:gridCol w:w="1099"/>
      </w:tblGrid>
      <w:tr w:rsidR="00BA3275" w14:paraId="2A5DDE2E"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1D636CB" w14:textId="77777777" w:rsidR="00BA3275" w:rsidRDefault="00000000">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200F903"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297CA1DA"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214860" w14:textId="77777777" w:rsidR="00BA3275" w:rsidRDefault="00BA327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E27786" w14:textId="77777777" w:rsidR="00BA3275"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41011D7" w14:textId="77777777" w:rsidR="00BA3275"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7894DDB" w14:textId="77777777" w:rsidR="00BA3275" w:rsidRDefault="00000000">
            <w:pPr>
              <w:jc w:val="center"/>
              <w:rPr>
                <w:rFonts w:eastAsia="Times New Roman"/>
              </w:rPr>
            </w:pPr>
            <w:r>
              <w:rPr>
                <w:rFonts w:ascii="Arial" w:eastAsia="Times New Roman" w:hAnsi="Arial" w:cs="Arial"/>
                <w:b/>
                <w:bCs/>
                <w:sz w:val="16"/>
                <w:szCs w:val="16"/>
              </w:rPr>
              <w:t>Total</w:t>
            </w:r>
          </w:p>
        </w:tc>
      </w:tr>
      <w:tr w:rsidR="00BA3275" w14:paraId="543FEC5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D59F320" w14:textId="77777777" w:rsidR="00BA3275" w:rsidRDefault="00000000">
            <w:pPr>
              <w:rPr>
                <w:rFonts w:eastAsia="Times New Roman"/>
              </w:rPr>
            </w:pPr>
            <w:r>
              <w:rPr>
                <w:rFonts w:ascii="Arial" w:eastAsia="Times New Roman" w:hAnsi="Arial" w:cs="Arial"/>
                <w:sz w:val="16"/>
                <w:szCs w:val="16"/>
              </w:rPr>
              <w:t>Operações de Crédito - IOF</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0DEAD" w14:textId="77777777" w:rsidR="00BA3275" w:rsidRDefault="00000000" w:rsidP="009F4CE0">
            <w:pPr>
              <w:jc w:val="right"/>
              <w:rPr>
                <w:rFonts w:eastAsia="Times New Roman"/>
              </w:rPr>
            </w:pPr>
            <w:r>
              <w:rPr>
                <w:rFonts w:ascii="Arial" w:eastAsia="Times New Roman" w:hAnsi="Arial" w:cs="Arial"/>
                <w:sz w:val="16"/>
                <w:szCs w:val="16"/>
              </w:rPr>
              <w:t>144.276,18</w:t>
            </w:r>
          </w:p>
        </w:tc>
        <w:tc>
          <w:tcPr>
            <w:tcW w:w="0" w:type="auto"/>
            <w:tcBorders>
              <w:top w:val="outset" w:sz="6" w:space="0" w:color="auto"/>
              <w:left w:val="outset" w:sz="6" w:space="0" w:color="auto"/>
              <w:bottom w:val="outset" w:sz="6" w:space="0" w:color="auto"/>
              <w:right w:val="outset" w:sz="6" w:space="0" w:color="auto"/>
            </w:tcBorders>
            <w:vAlign w:val="center"/>
            <w:hideMark/>
          </w:tcPr>
          <w:p w14:paraId="5DFB7AB2" w14:textId="77777777" w:rsidR="00BA3275" w:rsidRDefault="00000000" w:rsidP="009F4CE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9EF594" w14:textId="77777777" w:rsidR="00BA3275" w:rsidRDefault="00000000">
            <w:pPr>
              <w:jc w:val="right"/>
              <w:rPr>
                <w:rFonts w:eastAsia="Times New Roman"/>
              </w:rPr>
            </w:pPr>
            <w:r>
              <w:rPr>
                <w:rFonts w:ascii="Arial" w:eastAsia="Times New Roman" w:hAnsi="Arial" w:cs="Arial"/>
                <w:sz w:val="16"/>
                <w:szCs w:val="16"/>
              </w:rPr>
              <w:t>144.276,18</w:t>
            </w:r>
          </w:p>
        </w:tc>
      </w:tr>
      <w:tr w:rsidR="00BA3275" w14:paraId="78B738C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35B44BD" w14:textId="77777777" w:rsidR="00BA3275" w:rsidRDefault="00000000">
            <w:pPr>
              <w:rPr>
                <w:rFonts w:eastAsia="Times New Roman"/>
              </w:rPr>
            </w:pPr>
            <w:r>
              <w:rPr>
                <w:rFonts w:ascii="Arial" w:eastAsia="Times New Roman" w:hAnsi="Arial" w:cs="Arial"/>
                <w:sz w:val="16"/>
                <w:szCs w:val="16"/>
              </w:rPr>
              <w:t>Estaduais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F68CCCB" w14:textId="77777777" w:rsidR="00BA3275" w:rsidRDefault="00000000" w:rsidP="009F4CE0">
            <w:pPr>
              <w:jc w:val="right"/>
              <w:rPr>
                <w:rFonts w:eastAsia="Times New Roman"/>
              </w:rPr>
            </w:pPr>
            <w:r>
              <w:rPr>
                <w:rFonts w:ascii="Arial" w:eastAsia="Times New Roman" w:hAnsi="Arial" w:cs="Arial"/>
                <w:sz w:val="16"/>
                <w:szCs w:val="16"/>
              </w:rPr>
              <w:t>405.495,17</w:t>
            </w:r>
          </w:p>
        </w:tc>
        <w:tc>
          <w:tcPr>
            <w:tcW w:w="0" w:type="auto"/>
            <w:tcBorders>
              <w:top w:val="outset" w:sz="6" w:space="0" w:color="auto"/>
              <w:left w:val="outset" w:sz="6" w:space="0" w:color="auto"/>
              <w:bottom w:val="outset" w:sz="6" w:space="0" w:color="auto"/>
              <w:right w:val="outset" w:sz="6" w:space="0" w:color="auto"/>
            </w:tcBorders>
            <w:vAlign w:val="center"/>
            <w:hideMark/>
          </w:tcPr>
          <w:p w14:paraId="02856230" w14:textId="77777777" w:rsidR="00BA3275" w:rsidRDefault="00000000" w:rsidP="009F4CE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148821" w14:textId="77777777" w:rsidR="00BA3275" w:rsidRDefault="00000000">
            <w:pPr>
              <w:jc w:val="right"/>
              <w:rPr>
                <w:rFonts w:eastAsia="Times New Roman"/>
              </w:rPr>
            </w:pPr>
            <w:r>
              <w:rPr>
                <w:rFonts w:ascii="Arial" w:eastAsia="Times New Roman" w:hAnsi="Arial" w:cs="Arial"/>
                <w:sz w:val="16"/>
                <w:szCs w:val="16"/>
              </w:rPr>
              <w:t>405.495,17</w:t>
            </w:r>
          </w:p>
        </w:tc>
      </w:tr>
      <w:tr w:rsidR="00BA3275" w14:paraId="57AA769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809EC28" w14:textId="77777777" w:rsidR="00BA3275" w:rsidRDefault="00000000">
            <w:pPr>
              <w:rPr>
                <w:rFonts w:eastAsia="Times New Roman"/>
              </w:rPr>
            </w:pPr>
            <w:r>
              <w:rPr>
                <w:rFonts w:ascii="Arial" w:eastAsia="Times New Roman" w:hAnsi="Arial" w:cs="Arial"/>
                <w:sz w:val="16"/>
                <w:szCs w:val="16"/>
              </w:rPr>
              <w:t>Municipais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B5877C" w14:textId="77777777" w:rsidR="00BA3275" w:rsidRDefault="00000000" w:rsidP="009F4CE0">
            <w:pPr>
              <w:jc w:val="right"/>
              <w:rPr>
                <w:rFonts w:eastAsia="Times New Roman"/>
              </w:rPr>
            </w:pPr>
            <w:r>
              <w:rPr>
                <w:rFonts w:ascii="Arial" w:eastAsia="Times New Roman" w:hAnsi="Arial" w:cs="Arial"/>
                <w:sz w:val="16"/>
                <w:szCs w:val="16"/>
              </w:rPr>
              <w:t>80.673,97</w:t>
            </w:r>
          </w:p>
        </w:tc>
        <w:tc>
          <w:tcPr>
            <w:tcW w:w="0" w:type="auto"/>
            <w:tcBorders>
              <w:top w:val="outset" w:sz="6" w:space="0" w:color="auto"/>
              <w:left w:val="outset" w:sz="6" w:space="0" w:color="auto"/>
              <w:bottom w:val="outset" w:sz="6" w:space="0" w:color="auto"/>
              <w:right w:val="outset" w:sz="6" w:space="0" w:color="auto"/>
            </w:tcBorders>
            <w:vAlign w:val="center"/>
            <w:hideMark/>
          </w:tcPr>
          <w:p w14:paraId="121B686E" w14:textId="77777777" w:rsidR="00BA3275" w:rsidRDefault="00000000" w:rsidP="009F4CE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0820945" w14:textId="77777777" w:rsidR="00BA3275" w:rsidRDefault="00000000">
            <w:pPr>
              <w:jc w:val="right"/>
              <w:rPr>
                <w:rFonts w:eastAsia="Times New Roman"/>
              </w:rPr>
            </w:pPr>
            <w:r>
              <w:rPr>
                <w:rFonts w:ascii="Arial" w:eastAsia="Times New Roman" w:hAnsi="Arial" w:cs="Arial"/>
                <w:sz w:val="16"/>
                <w:szCs w:val="16"/>
              </w:rPr>
              <w:t>80.673,97</w:t>
            </w:r>
          </w:p>
        </w:tc>
      </w:tr>
      <w:tr w:rsidR="00BA3275" w14:paraId="4C09D6F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193F5CA" w14:textId="77777777" w:rsidR="00BA3275" w:rsidRDefault="00000000">
            <w:pPr>
              <w:rPr>
                <w:rFonts w:eastAsia="Times New Roman"/>
              </w:rPr>
            </w:pPr>
            <w:r>
              <w:rPr>
                <w:rFonts w:ascii="Arial" w:eastAsia="Times New Roman" w:hAnsi="Arial" w:cs="Arial"/>
                <w:sz w:val="16"/>
                <w:szCs w:val="16"/>
              </w:rPr>
              <w:t>Outras Cobrança e Arrecadação de Tributos e Assemelhados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49210B" w14:textId="77777777" w:rsidR="00BA3275" w:rsidRDefault="00000000" w:rsidP="009F4CE0">
            <w:pPr>
              <w:jc w:val="right"/>
              <w:rPr>
                <w:rFonts w:eastAsia="Times New Roman"/>
              </w:rPr>
            </w:pPr>
            <w:r>
              <w:rPr>
                <w:rFonts w:ascii="Arial" w:eastAsia="Times New Roman" w:hAnsi="Arial" w:cs="Arial"/>
                <w:sz w:val="16"/>
                <w:szCs w:val="16"/>
              </w:rPr>
              <w:t>2.909,44</w:t>
            </w:r>
          </w:p>
        </w:tc>
        <w:tc>
          <w:tcPr>
            <w:tcW w:w="0" w:type="auto"/>
            <w:tcBorders>
              <w:top w:val="outset" w:sz="6" w:space="0" w:color="auto"/>
              <w:left w:val="outset" w:sz="6" w:space="0" w:color="auto"/>
              <w:bottom w:val="outset" w:sz="6" w:space="0" w:color="auto"/>
              <w:right w:val="outset" w:sz="6" w:space="0" w:color="auto"/>
            </w:tcBorders>
            <w:vAlign w:val="center"/>
            <w:hideMark/>
          </w:tcPr>
          <w:p w14:paraId="64859AF4" w14:textId="77777777" w:rsidR="00BA3275" w:rsidRDefault="00000000" w:rsidP="009F4CE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4967B6C" w14:textId="77777777" w:rsidR="00BA3275" w:rsidRDefault="00000000">
            <w:pPr>
              <w:jc w:val="right"/>
              <w:rPr>
                <w:rFonts w:eastAsia="Times New Roman"/>
              </w:rPr>
            </w:pPr>
            <w:r>
              <w:rPr>
                <w:rFonts w:ascii="Arial" w:eastAsia="Times New Roman" w:hAnsi="Arial" w:cs="Arial"/>
                <w:sz w:val="16"/>
                <w:szCs w:val="16"/>
              </w:rPr>
              <w:t>2.909,44</w:t>
            </w:r>
          </w:p>
        </w:tc>
      </w:tr>
      <w:tr w:rsidR="00BA3275" w14:paraId="60A7D76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087CD5E" w14:textId="77777777" w:rsidR="00BA3275"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E659D" w14:textId="77777777" w:rsidR="00BA3275" w:rsidRDefault="00000000" w:rsidP="009F4CE0">
            <w:pPr>
              <w:jc w:val="right"/>
              <w:rPr>
                <w:rFonts w:eastAsia="Times New Roman"/>
              </w:rPr>
            </w:pPr>
            <w:r>
              <w:rPr>
                <w:rFonts w:ascii="Arial" w:eastAsia="Times New Roman" w:hAnsi="Arial" w:cs="Arial"/>
                <w:b/>
                <w:bCs/>
                <w:sz w:val="16"/>
                <w:szCs w:val="16"/>
              </w:rPr>
              <w:t>633.354,76</w:t>
            </w:r>
          </w:p>
        </w:tc>
        <w:tc>
          <w:tcPr>
            <w:tcW w:w="0" w:type="auto"/>
            <w:tcBorders>
              <w:top w:val="outset" w:sz="6" w:space="0" w:color="auto"/>
              <w:left w:val="outset" w:sz="6" w:space="0" w:color="auto"/>
              <w:bottom w:val="outset" w:sz="6" w:space="0" w:color="auto"/>
              <w:right w:val="outset" w:sz="6" w:space="0" w:color="auto"/>
            </w:tcBorders>
            <w:vAlign w:val="center"/>
            <w:hideMark/>
          </w:tcPr>
          <w:p w14:paraId="42ED2967" w14:textId="77777777" w:rsidR="00BA3275" w:rsidRDefault="00000000" w:rsidP="009F4CE0">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5A2771" w14:textId="77777777" w:rsidR="00BA3275" w:rsidRDefault="00000000">
            <w:pPr>
              <w:jc w:val="right"/>
              <w:rPr>
                <w:rFonts w:eastAsia="Times New Roman"/>
              </w:rPr>
            </w:pPr>
            <w:r>
              <w:rPr>
                <w:rFonts w:ascii="Arial" w:eastAsia="Times New Roman" w:hAnsi="Arial" w:cs="Arial"/>
                <w:b/>
                <w:bCs/>
                <w:sz w:val="16"/>
                <w:szCs w:val="16"/>
              </w:rPr>
              <w:t>633.354,76</w:t>
            </w:r>
          </w:p>
        </w:tc>
      </w:tr>
    </w:tbl>
    <w:p w14:paraId="4BD3174E" w14:textId="77777777" w:rsidR="00BA3275" w:rsidRDefault="00000000">
      <w:pPr>
        <w:pStyle w:val="NormalWeb"/>
      </w:pPr>
      <w:r>
        <w:rPr>
          <w:rFonts w:ascii="Arial" w:hAnsi="Arial" w:cs="Arial"/>
          <w:b/>
          <w:bCs/>
          <w:sz w:val="20"/>
          <w:szCs w:val="20"/>
        </w:rPr>
        <w:t xml:space="preserve">15.5 Obrigações Fiscais, Correntes e Diferidas </w:t>
      </w:r>
    </w:p>
    <w:p w14:paraId="7C31E6BF" w14:textId="77777777" w:rsidR="00BA3275" w:rsidRDefault="00000000">
      <w:pPr>
        <w:pStyle w:val="NormalWeb"/>
        <w:jc w:val="both"/>
      </w:pPr>
      <w:r>
        <w:rPr>
          <w:rFonts w:ascii="Arial" w:hAnsi="Arial" w:cs="Arial"/>
          <w:sz w:val="20"/>
          <w:szCs w:val="20"/>
        </w:rPr>
        <w:t>Em 30 de junho de 2025, os saldos de Obrigações Fiscais, Correntes e Diferidas estão assim compostos:</w:t>
      </w:r>
    </w:p>
    <w:tbl>
      <w:tblPr>
        <w:tblW w:w="5000" w:type="pct"/>
        <w:tblCellMar>
          <w:left w:w="0" w:type="dxa"/>
          <w:right w:w="0" w:type="dxa"/>
        </w:tblCellMar>
        <w:tblLook w:val="04A0" w:firstRow="1" w:lastRow="0" w:firstColumn="1" w:lastColumn="0" w:noHBand="0" w:noVBand="1"/>
      </w:tblPr>
      <w:tblGrid>
        <w:gridCol w:w="5406"/>
        <w:gridCol w:w="1239"/>
        <w:gridCol w:w="1738"/>
        <w:gridCol w:w="1239"/>
      </w:tblGrid>
      <w:tr w:rsidR="00BA3275" w14:paraId="038E519D"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16E1E4E" w14:textId="77777777" w:rsidR="00BA3275" w:rsidRDefault="00000000">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88D65FD"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3D2277A2"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DD9814" w14:textId="77777777" w:rsidR="00BA3275" w:rsidRDefault="00BA327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11FF8E8" w14:textId="77777777" w:rsidR="00BA3275"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29C9440" w14:textId="77777777" w:rsidR="00BA3275"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04F64" w14:textId="77777777" w:rsidR="00BA3275" w:rsidRDefault="00000000">
            <w:pPr>
              <w:jc w:val="center"/>
              <w:rPr>
                <w:rFonts w:eastAsia="Times New Roman"/>
              </w:rPr>
            </w:pPr>
            <w:r>
              <w:rPr>
                <w:rFonts w:ascii="Arial" w:eastAsia="Times New Roman" w:hAnsi="Arial" w:cs="Arial"/>
                <w:b/>
                <w:bCs/>
                <w:sz w:val="16"/>
                <w:szCs w:val="16"/>
              </w:rPr>
              <w:t>Total</w:t>
            </w:r>
          </w:p>
        </w:tc>
      </w:tr>
      <w:tr w:rsidR="00BA3275" w14:paraId="3A17C79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E54668D" w14:textId="77777777" w:rsidR="00BA3275" w:rsidRDefault="00000000">
            <w:pPr>
              <w:rPr>
                <w:rFonts w:eastAsia="Times New Roman"/>
              </w:rPr>
            </w:pPr>
            <w:r>
              <w:rPr>
                <w:rFonts w:ascii="Arial" w:eastAsia="Times New Roman" w:hAnsi="Arial" w:cs="Arial"/>
                <w:sz w:val="16"/>
                <w:szCs w:val="16"/>
              </w:rPr>
              <w:t>Provisão para Impostos e Contribuições s/Lucros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6EF3439" w14:textId="77777777" w:rsidR="00BA3275" w:rsidRDefault="00000000" w:rsidP="00EB1804">
            <w:pPr>
              <w:jc w:val="right"/>
              <w:rPr>
                <w:rFonts w:eastAsia="Times New Roman"/>
              </w:rPr>
            </w:pPr>
            <w:r>
              <w:rPr>
                <w:rFonts w:ascii="Arial" w:eastAsia="Times New Roman" w:hAnsi="Arial" w:cs="Arial"/>
                <w:sz w:val="16"/>
                <w:szCs w:val="16"/>
              </w:rPr>
              <w:t>88.606,06</w:t>
            </w:r>
          </w:p>
        </w:tc>
        <w:tc>
          <w:tcPr>
            <w:tcW w:w="0" w:type="auto"/>
            <w:tcBorders>
              <w:top w:val="outset" w:sz="6" w:space="0" w:color="auto"/>
              <w:left w:val="outset" w:sz="6" w:space="0" w:color="auto"/>
              <w:bottom w:val="outset" w:sz="6" w:space="0" w:color="auto"/>
              <w:right w:val="outset" w:sz="6" w:space="0" w:color="auto"/>
            </w:tcBorders>
            <w:vAlign w:val="center"/>
            <w:hideMark/>
          </w:tcPr>
          <w:p w14:paraId="11B33212" w14:textId="77777777" w:rsidR="00BA3275" w:rsidRDefault="00000000" w:rsidP="00EB1804">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2949B55" w14:textId="77777777" w:rsidR="00BA3275" w:rsidRDefault="00000000" w:rsidP="00EB1804">
            <w:pPr>
              <w:jc w:val="right"/>
              <w:rPr>
                <w:rFonts w:eastAsia="Times New Roman"/>
              </w:rPr>
            </w:pPr>
            <w:r>
              <w:rPr>
                <w:rFonts w:ascii="Arial" w:eastAsia="Times New Roman" w:hAnsi="Arial" w:cs="Arial"/>
                <w:sz w:val="16"/>
                <w:szCs w:val="16"/>
              </w:rPr>
              <w:t>88.606,06</w:t>
            </w:r>
          </w:p>
        </w:tc>
      </w:tr>
      <w:tr w:rsidR="00BA3275" w14:paraId="5CA9B00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D510981" w14:textId="77777777" w:rsidR="00BA3275" w:rsidRDefault="00000000">
            <w:pPr>
              <w:rPr>
                <w:rFonts w:eastAsia="Times New Roman"/>
              </w:rPr>
            </w:pPr>
            <w:r>
              <w:rPr>
                <w:rFonts w:ascii="Arial" w:eastAsia="Times New Roman" w:hAnsi="Arial" w:cs="Arial"/>
                <w:sz w:val="16"/>
                <w:szCs w:val="16"/>
              </w:rPr>
              <w:t>Impostos e Contribuições s/ Serviços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E67A4B" w14:textId="77777777" w:rsidR="00BA3275" w:rsidRDefault="00000000" w:rsidP="00EB1804">
            <w:pPr>
              <w:jc w:val="right"/>
              <w:rPr>
                <w:rFonts w:eastAsia="Times New Roman"/>
              </w:rPr>
            </w:pPr>
            <w:r>
              <w:rPr>
                <w:rFonts w:ascii="Arial" w:eastAsia="Times New Roman" w:hAnsi="Arial" w:cs="Arial"/>
                <w:sz w:val="16"/>
                <w:szCs w:val="16"/>
              </w:rPr>
              <w:t>12.594,32</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E86AE" w14:textId="77777777" w:rsidR="00BA3275" w:rsidRDefault="00000000" w:rsidP="00EB1804">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5B1AF95" w14:textId="77777777" w:rsidR="00BA3275" w:rsidRDefault="00000000" w:rsidP="00EB1804">
            <w:pPr>
              <w:jc w:val="right"/>
              <w:rPr>
                <w:rFonts w:eastAsia="Times New Roman"/>
              </w:rPr>
            </w:pPr>
            <w:r>
              <w:rPr>
                <w:rFonts w:ascii="Arial" w:eastAsia="Times New Roman" w:hAnsi="Arial" w:cs="Arial"/>
                <w:sz w:val="16"/>
                <w:szCs w:val="16"/>
              </w:rPr>
              <w:t>12.594,32</w:t>
            </w:r>
          </w:p>
        </w:tc>
      </w:tr>
      <w:tr w:rsidR="00BA3275" w14:paraId="74C913A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4D318FE" w14:textId="77777777" w:rsidR="00BA3275" w:rsidRDefault="00000000">
            <w:pPr>
              <w:rPr>
                <w:rFonts w:eastAsia="Times New Roman"/>
              </w:rPr>
            </w:pPr>
            <w:r>
              <w:rPr>
                <w:rFonts w:ascii="Arial" w:eastAsia="Times New Roman" w:hAnsi="Arial" w:cs="Arial"/>
                <w:sz w:val="16"/>
                <w:szCs w:val="16"/>
              </w:rPr>
              <w:t>Impostos e Contribuições sobre Salários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72AC4D" w14:textId="77777777" w:rsidR="00BA3275" w:rsidRDefault="00000000" w:rsidP="00EB1804">
            <w:pPr>
              <w:jc w:val="right"/>
              <w:rPr>
                <w:rFonts w:eastAsia="Times New Roman"/>
              </w:rPr>
            </w:pPr>
            <w:r>
              <w:rPr>
                <w:rFonts w:ascii="Arial" w:eastAsia="Times New Roman" w:hAnsi="Arial" w:cs="Arial"/>
                <w:sz w:val="16"/>
                <w:szCs w:val="16"/>
              </w:rPr>
              <w:t>318.472,29</w:t>
            </w:r>
          </w:p>
        </w:tc>
        <w:tc>
          <w:tcPr>
            <w:tcW w:w="0" w:type="auto"/>
            <w:tcBorders>
              <w:top w:val="outset" w:sz="6" w:space="0" w:color="auto"/>
              <w:left w:val="outset" w:sz="6" w:space="0" w:color="auto"/>
              <w:bottom w:val="outset" w:sz="6" w:space="0" w:color="auto"/>
              <w:right w:val="outset" w:sz="6" w:space="0" w:color="auto"/>
            </w:tcBorders>
            <w:vAlign w:val="center"/>
            <w:hideMark/>
          </w:tcPr>
          <w:p w14:paraId="0748F2B3" w14:textId="77777777" w:rsidR="00BA3275" w:rsidRDefault="00000000" w:rsidP="00EB1804">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935FA6" w14:textId="77777777" w:rsidR="00BA3275" w:rsidRDefault="00000000" w:rsidP="00EB1804">
            <w:pPr>
              <w:jc w:val="right"/>
              <w:rPr>
                <w:rFonts w:eastAsia="Times New Roman"/>
              </w:rPr>
            </w:pPr>
            <w:r>
              <w:rPr>
                <w:rFonts w:ascii="Arial" w:eastAsia="Times New Roman" w:hAnsi="Arial" w:cs="Arial"/>
                <w:sz w:val="16"/>
                <w:szCs w:val="16"/>
              </w:rPr>
              <w:t>318.472,29</w:t>
            </w:r>
          </w:p>
        </w:tc>
      </w:tr>
      <w:tr w:rsidR="00BA3275" w14:paraId="0B69F21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1030DC2" w14:textId="262F3B47" w:rsidR="00BA3275" w:rsidRDefault="00000000">
            <w:pPr>
              <w:rPr>
                <w:rFonts w:eastAsia="Times New Roman"/>
              </w:rPr>
            </w:pPr>
            <w:r>
              <w:rPr>
                <w:rFonts w:ascii="Arial" w:eastAsia="Times New Roman" w:hAnsi="Arial" w:cs="Arial"/>
                <w:sz w:val="16"/>
                <w:szCs w:val="16"/>
              </w:rPr>
              <w:t>Outros</w:t>
            </w:r>
            <w:r w:rsidR="00EB1804">
              <w:rPr>
                <w:rFonts w:ascii="Arial" w:eastAsia="Times New Roman" w:hAnsi="Arial" w:cs="Arial"/>
                <w:sz w:val="16"/>
                <w:szCs w:val="16"/>
              </w:rPr>
              <w:t xml:space="preserve"> (15.6)</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3B87F" w14:textId="77777777" w:rsidR="00BA3275" w:rsidRDefault="00000000" w:rsidP="00EB1804">
            <w:pPr>
              <w:jc w:val="right"/>
              <w:rPr>
                <w:rFonts w:eastAsia="Times New Roman"/>
              </w:rPr>
            </w:pPr>
            <w:r>
              <w:rPr>
                <w:rFonts w:ascii="Arial" w:eastAsia="Times New Roman" w:hAnsi="Arial" w:cs="Arial"/>
                <w:sz w:val="16"/>
                <w:szCs w:val="16"/>
              </w:rPr>
              <w:t>203.917,51</w:t>
            </w:r>
          </w:p>
        </w:tc>
        <w:tc>
          <w:tcPr>
            <w:tcW w:w="0" w:type="auto"/>
            <w:tcBorders>
              <w:top w:val="outset" w:sz="6" w:space="0" w:color="auto"/>
              <w:left w:val="outset" w:sz="6" w:space="0" w:color="auto"/>
              <w:bottom w:val="outset" w:sz="6" w:space="0" w:color="auto"/>
              <w:right w:val="outset" w:sz="6" w:space="0" w:color="auto"/>
            </w:tcBorders>
            <w:vAlign w:val="center"/>
            <w:hideMark/>
          </w:tcPr>
          <w:p w14:paraId="5439C4FD" w14:textId="77777777" w:rsidR="00BA3275" w:rsidRDefault="00000000" w:rsidP="00EB1804">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7470A7B" w14:textId="77777777" w:rsidR="00BA3275" w:rsidRDefault="00000000" w:rsidP="00EB1804">
            <w:pPr>
              <w:jc w:val="right"/>
              <w:rPr>
                <w:rFonts w:eastAsia="Times New Roman"/>
              </w:rPr>
            </w:pPr>
            <w:r>
              <w:rPr>
                <w:rFonts w:ascii="Arial" w:eastAsia="Times New Roman" w:hAnsi="Arial" w:cs="Arial"/>
                <w:sz w:val="16"/>
                <w:szCs w:val="16"/>
              </w:rPr>
              <w:t>203.917,51</w:t>
            </w:r>
          </w:p>
        </w:tc>
      </w:tr>
      <w:tr w:rsidR="00BA3275" w14:paraId="109DB46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A793B49" w14:textId="77777777" w:rsidR="00BA3275"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7E4650B" w14:textId="77777777" w:rsidR="00BA3275" w:rsidRDefault="00000000" w:rsidP="00EB1804">
            <w:pPr>
              <w:jc w:val="right"/>
              <w:rPr>
                <w:rFonts w:eastAsia="Times New Roman"/>
              </w:rPr>
            </w:pPr>
            <w:r>
              <w:rPr>
                <w:rFonts w:ascii="Arial" w:eastAsia="Times New Roman" w:hAnsi="Arial" w:cs="Arial"/>
                <w:b/>
                <w:bCs/>
                <w:sz w:val="16"/>
                <w:szCs w:val="16"/>
              </w:rPr>
              <w:t>623.590,18</w:t>
            </w:r>
          </w:p>
        </w:tc>
        <w:tc>
          <w:tcPr>
            <w:tcW w:w="0" w:type="auto"/>
            <w:tcBorders>
              <w:top w:val="outset" w:sz="6" w:space="0" w:color="auto"/>
              <w:left w:val="outset" w:sz="6" w:space="0" w:color="auto"/>
              <w:bottom w:val="outset" w:sz="6" w:space="0" w:color="auto"/>
              <w:right w:val="outset" w:sz="6" w:space="0" w:color="auto"/>
            </w:tcBorders>
            <w:vAlign w:val="center"/>
            <w:hideMark/>
          </w:tcPr>
          <w:p w14:paraId="300524D9" w14:textId="77777777" w:rsidR="00BA3275" w:rsidRDefault="00000000" w:rsidP="00EB1804">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063681B" w14:textId="77777777" w:rsidR="00BA3275" w:rsidRDefault="00000000" w:rsidP="00EB1804">
            <w:pPr>
              <w:jc w:val="right"/>
              <w:rPr>
                <w:rFonts w:eastAsia="Times New Roman"/>
              </w:rPr>
            </w:pPr>
            <w:r>
              <w:rPr>
                <w:rFonts w:ascii="Arial" w:eastAsia="Times New Roman" w:hAnsi="Arial" w:cs="Arial"/>
                <w:b/>
                <w:bCs/>
                <w:sz w:val="16"/>
                <w:szCs w:val="16"/>
              </w:rPr>
              <w:t>623.590,18</w:t>
            </w:r>
          </w:p>
        </w:tc>
      </w:tr>
    </w:tbl>
    <w:p w14:paraId="5C70AC5E" w14:textId="77777777" w:rsidR="00BA3275" w:rsidRDefault="00000000">
      <w:pPr>
        <w:pStyle w:val="NormalWeb"/>
      </w:pPr>
      <w:r>
        <w:rPr>
          <w:rFonts w:ascii="Arial" w:hAnsi="Arial" w:cs="Arial"/>
          <w:b/>
          <w:bCs/>
          <w:sz w:val="20"/>
          <w:szCs w:val="20"/>
        </w:rPr>
        <w:t>15.6 Composição dos Saldos de Outras Obrigações Fiscais</w:t>
      </w:r>
    </w:p>
    <w:p w14:paraId="69918217" w14:textId="77777777" w:rsidR="00BA3275" w:rsidRDefault="00000000">
      <w:pPr>
        <w:pStyle w:val="NormalWeb"/>
        <w:jc w:val="both"/>
      </w:pPr>
      <w:r>
        <w:rPr>
          <w:rFonts w:ascii="Arial" w:hAnsi="Arial" w:cs="Arial"/>
          <w:sz w:val="20"/>
          <w:szCs w:val="20"/>
        </w:rPr>
        <w:t>A seguir, a composição dos saldos de outras obrigações fiscais, correntes e diferidas:</w:t>
      </w:r>
    </w:p>
    <w:tbl>
      <w:tblPr>
        <w:tblW w:w="5000" w:type="pct"/>
        <w:tblCellMar>
          <w:left w:w="0" w:type="dxa"/>
          <w:right w:w="0" w:type="dxa"/>
        </w:tblCellMar>
        <w:tblLook w:val="04A0" w:firstRow="1" w:lastRow="0" w:firstColumn="1" w:lastColumn="0" w:noHBand="0" w:noVBand="1"/>
      </w:tblPr>
      <w:tblGrid>
        <w:gridCol w:w="4572"/>
        <w:gridCol w:w="1484"/>
        <w:gridCol w:w="2082"/>
        <w:gridCol w:w="1484"/>
      </w:tblGrid>
      <w:tr w:rsidR="00BA3275" w14:paraId="2CD96B5C"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E38946F" w14:textId="77777777" w:rsidR="00BA3275" w:rsidRDefault="00000000">
            <w:pPr>
              <w:jc w:val="center"/>
              <w:rPr>
                <w:rFonts w:eastAsia="Times New Roman"/>
              </w:rPr>
            </w:pPr>
            <w:r>
              <w:rPr>
                <w:rFonts w:ascii="Arial" w:eastAsia="Times New Roman" w:hAnsi="Arial" w:cs="Arial"/>
                <w:b/>
                <w:bCs/>
                <w:sz w:val="16"/>
                <w:szCs w:val="16"/>
              </w:rPr>
              <w:lastRenderedPageBreak/>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BA32544"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469EF4E6"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F8711B" w14:textId="77777777" w:rsidR="00BA3275" w:rsidRDefault="00BA327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17D3A0" w14:textId="77777777" w:rsidR="00BA3275"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E1E9185" w14:textId="77777777" w:rsidR="00BA3275"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5C16079" w14:textId="77777777" w:rsidR="00BA3275" w:rsidRDefault="00000000">
            <w:pPr>
              <w:jc w:val="center"/>
              <w:rPr>
                <w:rFonts w:eastAsia="Times New Roman"/>
              </w:rPr>
            </w:pPr>
            <w:r>
              <w:rPr>
                <w:rFonts w:ascii="Arial" w:eastAsia="Times New Roman" w:hAnsi="Arial" w:cs="Arial"/>
                <w:b/>
                <w:bCs/>
                <w:sz w:val="16"/>
                <w:szCs w:val="16"/>
              </w:rPr>
              <w:t>Total</w:t>
            </w:r>
          </w:p>
        </w:tc>
      </w:tr>
      <w:tr w:rsidR="00BA3275" w14:paraId="5650CE8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B25E775" w14:textId="77777777" w:rsidR="00BA3275" w:rsidRDefault="00000000">
            <w:pPr>
              <w:rPr>
                <w:rFonts w:eastAsia="Times New Roman"/>
              </w:rPr>
            </w:pPr>
            <w:r>
              <w:rPr>
                <w:rFonts w:ascii="Arial" w:eastAsia="Times New Roman" w:hAnsi="Arial" w:cs="Arial"/>
                <w:sz w:val="16"/>
                <w:szCs w:val="16"/>
              </w:rPr>
              <w:t>IRRF sobre Aplicações 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82D4D6B" w14:textId="77777777" w:rsidR="00BA3275" w:rsidRDefault="00000000" w:rsidP="00EB1804">
            <w:pPr>
              <w:jc w:val="right"/>
              <w:rPr>
                <w:rFonts w:eastAsia="Times New Roman"/>
              </w:rPr>
            </w:pPr>
            <w:r>
              <w:rPr>
                <w:rFonts w:ascii="Arial" w:eastAsia="Times New Roman" w:hAnsi="Arial" w:cs="Arial"/>
                <w:sz w:val="16"/>
                <w:szCs w:val="16"/>
              </w:rPr>
              <w:t>182.349,76</w:t>
            </w:r>
          </w:p>
        </w:tc>
        <w:tc>
          <w:tcPr>
            <w:tcW w:w="0" w:type="auto"/>
            <w:tcBorders>
              <w:top w:val="outset" w:sz="6" w:space="0" w:color="auto"/>
              <w:left w:val="outset" w:sz="6" w:space="0" w:color="auto"/>
              <w:bottom w:val="outset" w:sz="6" w:space="0" w:color="auto"/>
              <w:right w:val="outset" w:sz="6" w:space="0" w:color="auto"/>
            </w:tcBorders>
            <w:vAlign w:val="center"/>
            <w:hideMark/>
          </w:tcPr>
          <w:p w14:paraId="5CFFDA83" w14:textId="77777777" w:rsidR="00BA3275" w:rsidRDefault="00000000" w:rsidP="00EB1804">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E6EA8DB" w14:textId="77777777" w:rsidR="00BA3275" w:rsidRDefault="00000000" w:rsidP="00EB1804">
            <w:pPr>
              <w:jc w:val="right"/>
              <w:rPr>
                <w:rFonts w:eastAsia="Times New Roman"/>
              </w:rPr>
            </w:pPr>
            <w:r>
              <w:rPr>
                <w:rFonts w:ascii="Arial" w:eastAsia="Times New Roman" w:hAnsi="Arial" w:cs="Arial"/>
                <w:sz w:val="16"/>
                <w:szCs w:val="16"/>
              </w:rPr>
              <w:t>182.349,76</w:t>
            </w:r>
          </w:p>
        </w:tc>
      </w:tr>
      <w:tr w:rsidR="00BA3275" w14:paraId="2E08D85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50FB2E8" w14:textId="77777777" w:rsidR="00BA3275" w:rsidRDefault="00000000">
            <w:pPr>
              <w:rPr>
                <w:rFonts w:eastAsia="Times New Roman"/>
              </w:rPr>
            </w:pPr>
            <w:r>
              <w:rPr>
                <w:rFonts w:ascii="Arial" w:eastAsia="Times New Roman" w:hAnsi="Arial" w:cs="Arial"/>
                <w:sz w:val="16"/>
                <w:szCs w:val="16"/>
              </w:rPr>
              <w:t>ISSQN a Recolher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64F7260" w14:textId="77777777" w:rsidR="00BA3275" w:rsidRDefault="00000000" w:rsidP="00EB1804">
            <w:pPr>
              <w:jc w:val="right"/>
              <w:rPr>
                <w:rFonts w:eastAsia="Times New Roman"/>
              </w:rPr>
            </w:pPr>
            <w:r>
              <w:rPr>
                <w:rFonts w:ascii="Arial" w:eastAsia="Times New Roman" w:hAnsi="Arial" w:cs="Arial"/>
                <w:sz w:val="16"/>
                <w:szCs w:val="16"/>
              </w:rPr>
              <w:t>9.015,95</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3D611" w14:textId="77777777" w:rsidR="00BA3275" w:rsidRDefault="00000000" w:rsidP="00EB1804">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983A7F" w14:textId="77777777" w:rsidR="00BA3275" w:rsidRDefault="00000000" w:rsidP="00EB1804">
            <w:pPr>
              <w:jc w:val="right"/>
              <w:rPr>
                <w:rFonts w:eastAsia="Times New Roman"/>
              </w:rPr>
            </w:pPr>
            <w:r>
              <w:rPr>
                <w:rFonts w:ascii="Arial" w:eastAsia="Times New Roman" w:hAnsi="Arial" w:cs="Arial"/>
                <w:sz w:val="16"/>
                <w:szCs w:val="16"/>
              </w:rPr>
              <w:t>9.015,95</w:t>
            </w:r>
          </w:p>
        </w:tc>
      </w:tr>
      <w:tr w:rsidR="00BA3275" w14:paraId="0156FAF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45FDF37" w14:textId="77777777" w:rsidR="00BA3275" w:rsidRDefault="00000000">
            <w:pPr>
              <w:rPr>
                <w:rFonts w:eastAsia="Times New Roman"/>
              </w:rPr>
            </w:pPr>
            <w:r>
              <w:rPr>
                <w:rFonts w:ascii="Arial" w:eastAsia="Times New Roman" w:hAnsi="Arial" w:cs="Arial"/>
                <w:sz w:val="16"/>
                <w:szCs w:val="16"/>
              </w:rPr>
              <w:t>PIS Faturamento a Recolher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D030C83" w14:textId="77777777" w:rsidR="00BA3275" w:rsidRDefault="00000000" w:rsidP="00EB1804">
            <w:pPr>
              <w:jc w:val="right"/>
              <w:rPr>
                <w:rFonts w:eastAsia="Times New Roman"/>
              </w:rPr>
            </w:pPr>
            <w:r>
              <w:rPr>
                <w:rFonts w:ascii="Arial" w:eastAsia="Times New Roman" w:hAnsi="Arial" w:cs="Arial"/>
                <w:sz w:val="16"/>
                <w:szCs w:val="16"/>
              </w:rPr>
              <w:t>1.744,40</w:t>
            </w:r>
          </w:p>
        </w:tc>
        <w:tc>
          <w:tcPr>
            <w:tcW w:w="0" w:type="auto"/>
            <w:tcBorders>
              <w:top w:val="outset" w:sz="6" w:space="0" w:color="auto"/>
              <w:left w:val="outset" w:sz="6" w:space="0" w:color="auto"/>
              <w:bottom w:val="outset" w:sz="6" w:space="0" w:color="auto"/>
              <w:right w:val="outset" w:sz="6" w:space="0" w:color="auto"/>
            </w:tcBorders>
            <w:vAlign w:val="center"/>
            <w:hideMark/>
          </w:tcPr>
          <w:p w14:paraId="4903B4A9" w14:textId="77777777" w:rsidR="00BA3275" w:rsidRDefault="00000000" w:rsidP="00EB1804">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E36A4A4" w14:textId="77777777" w:rsidR="00BA3275" w:rsidRDefault="00000000" w:rsidP="00EB1804">
            <w:pPr>
              <w:jc w:val="right"/>
              <w:rPr>
                <w:rFonts w:eastAsia="Times New Roman"/>
              </w:rPr>
            </w:pPr>
            <w:r>
              <w:rPr>
                <w:rFonts w:ascii="Arial" w:eastAsia="Times New Roman" w:hAnsi="Arial" w:cs="Arial"/>
                <w:sz w:val="16"/>
                <w:szCs w:val="16"/>
              </w:rPr>
              <w:t>1.744,40</w:t>
            </w:r>
          </w:p>
        </w:tc>
      </w:tr>
      <w:tr w:rsidR="00BA3275" w14:paraId="6B19D4F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0E702AB" w14:textId="77777777" w:rsidR="00BA3275" w:rsidRDefault="00000000">
            <w:pPr>
              <w:rPr>
                <w:rFonts w:eastAsia="Times New Roman"/>
              </w:rPr>
            </w:pPr>
            <w:r>
              <w:rPr>
                <w:rFonts w:ascii="Arial" w:eastAsia="Times New Roman" w:hAnsi="Arial" w:cs="Arial"/>
                <w:sz w:val="16"/>
                <w:szCs w:val="16"/>
              </w:rPr>
              <w:t>COFINS a Recolher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95E164A" w14:textId="77777777" w:rsidR="00BA3275" w:rsidRDefault="00000000" w:rsidP="00EB1804">
            <w:pPr>
              <w:jc w:val="right"/>
              <w:rPr>
                <w:rFonts w:eastAsia="Times New Roman"/>
              </w:rPr>
            </w:pPr>
            <w:r>
              <w:rPr>
                <w:rFonts w:ascii="Arial" w:eastAsia="Times New Roman" w:hAnsi="Arial" w:cs="Arial"/>
                <w:sz w:val="16"/>
                <w:szCs w:val="16"/>
              </w:rPr>
              <w:t>10.807,40</w:t>
            </w:r>
          </w:p>
        </w:tc>
        <w:tc>
          <w:tcPr>
            <w:tcW w:w="0" w:type="auto"/>
            <w:tcBorders>
              <w:top w:val="outset" w:sz="6" w:space="0" w:color="auto"/>
              <w:left w:val="outset" w:sz="6" w:space="0" w:color="auto"/>
              <w:bottom w:val="outset" w:sz="6" w:space="0" w:color="auto"/>
              <w:right w:val="outset" w:sz="6" w:space="0" w:color="auto"/>
            </w:tcBorders>
            <w:vAlign w:val="center"/>
            <w:hideMark/>
          </w:tcPr>
          <w:p w14:paraId="6989F4C0" w14:textId="77777777" w:rsidR="00BA3275" w:rsidRDefault="00000000" w:rsidP="00EB1804">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7F4F80" w14:textId="77777777" w:rsidR="00BA3275" w:rsidRDefault="00000000" w:rsidP="00EB1804">
            <w:pPr>
              <w:jc w:val="right"/>
              <w:rPr>
                <w:rFonts w:eastAsia="Times New Roman"/>
              </w:rPr>
            </w:pPr>
            <w:r>
              <w:rPr>
                <w:rFonts w:ascii="Arial" w:eastAsia="Times New Roman" w:hAnsi="Arial" w:cs="Arial"/>
                <w:sz w:val="16"/>
                <w:szCs w:val="16"/>
              </w:rPr>
              <w:t>10.807,40</w:t>
            </w:r>
          </w:p>
        </w:tc>
      </w:tr>
      <w:tr w:rsidR="00BA3275" w14:paraId="186ED22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90BDE1F" w14:textId="77777777" w:rsidR="00BA3275"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75535BC" w14:textId="77777777" w:rsidR="00BA3275" w:rsidRDefault="00000000" w:rsidP="00EB1804">
            <w:pPr>
              <w:jc w:val="right"/>
              <w:rPr>
                <w:rFonts w:eastAsia="Times New Roman"/>
              </w:rPr>
            </w:pPr>
            <w:r>
              <w:rPr>
                <w:rFonts w:ascii="Arial" w:eastAsia="Times New Roman" w:hAnsi="Arial" w:cs="Arial"/>
                <w:b/>
                <w:bCs/>
                <w:sz w:val="16"/>
                <w:szCs w:val="16"/>
              </w:rPr>
              <w:t>203.917,51</w:t>
            </w:r>
          </w:p>
        </w:tc>
        <w:tc>
          <w:tcPr>
            <w:tcW w:w="0" w:type="auto"/>
            <w:tcBorders>
              <w:top w:val="outset" w:sz="6" w:space="0" w:color="auto"/>
              <w:left w:val="outset" w:sz="6" w:space="0" w:color="auto"/>
              <w:bottom w:val="outset" w:sz="6" w:space="0" w:color="auto"/>
              <w:right w:val="outset" w:sz="6" w:space="0" w:color="auto"/>
            </w:tcBorders>
            <w:vAlign w:val="center"/>
            <w:hideMark/>
          </w:tcPr>
          <w:p w14:paraId="5AFB4B68" w14:textId="77777777" w:rsidR="00BA3275" w:rsidRDefault="00000000" w:rsidP="00EB1804">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88B403" w14:textId="77777777" w:rsidR="00BA3275" w:rsidRDefault="00000000" w:rsidP="00EB1804">
            <w:pPr>
              <w:jc w:val="right"/>
              <w:rPr>
                <w:rFonts w:eastAsia="Times New Roman"/>
              </w:rPr>
            </w:pPr>
            <w:r>
              <w:rPr>
                <w:rFonts w:ascii="Arial" w:eastAsia="Times New Roman" w:hAnsi="Arial" w:cs="Arial"/>
                <w:b/>
                <w:bCs/>
                <w:sz w:val="16"/>
                <w:szCs w:val="16"/>
              </w:rPr>
              <w:t>203.917,51</w:t>
            </w:r>
          </w:p>
        </w:tc>
      </w:tr>
    </w:tbl>
    <w:p w14:paraId="38CE2B0C" w14:textId="77777777" w:rsidR="00BA3275" w:rsidRDefault="00000000">
      <w:pPr>
        <w:pStyle w:val="NormalWeb"/>
      </w:pPr>
      <w:r>
        <w:rPr>
          <w:rFonts w:ascii="Arial" w:hAnsi="Arial" w:cs="Arial"/>
          <w:b/>
          <w:bCs/>
          <w:sz w:val="20"/>
          <w:szCs w:val="20"/>
        </w:rPr>
        <w:t>15.7 Outras Obrigações</w:t>
      </w:r>
    </w:p>
    <w:p w14:paraId="58563E01" w14:textId="77777777" w:rsidR="00BA3275" w:rsidRDefault="00000000">
      <w:pPr>
        <w:pStyle w:val="NormalWeb"/>
        <w:jc w:val="both"/>
      </w:pPr>
      <w:r>
        <w:rPr>
          <w:rFonts w:ascii="Arial" w:hAnsi="Arial" w:cs="Arial"/>
          <w:sz w:val="20"/>
          <w:szCs w:val="20"/>
        </w:rPr>
        <w:t>Em 30 de junho de 2025, os saldos de outras obrigações estão assim compostos:</w:t>
      </w:r>
    </w:p>
    <w:tbl>
      <w:tblPr>
        <w:tblW w:w="5000" w:type="pct"/>
        <w:tblCellMar>
          <w:left w:w="0" w:type="dxa"/>
          <w:right w:w="0" w:type="dxa"/>
        </w:tblCellMar>
        <w:tblLook w:val="04A0" w:firstRow="1" w:lastRow="0" w:firstColumn="1" w:lastColumn="0" w:noHBand="0" w:noVBand="1"/>
      </w:tblPr>
      <w:tblGrid>
        <w:gridCol w:w="5347"/>
        <w:gridCol w:w="1378"/>
        <w:gridCol w:w="1519"/>
        <w:gridCol w:w="1378"/>
      </w:tblGrid>
      <w:tr w:rsidR="00BA3275" w14:paraId="26575A35"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F95939C" w14:textId="77777777" w:rsidR="00BA3275" w:rsidRDefault="00000000">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84CD36A"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2A224EFC"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2C6EC9" w14:textId="77777777" w:rsidR="00BA3275" w:rsidRDefault="00BA327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A2CC18" w14:textId="77777777" w:rsidR="00BA3275"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77C7B9A" w14:textId="77777777" w:rsidR="00BA3275"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D9EA4BA" w14:textId="77777777" w:rsidR="00BA3275" w:rsidRDefault="00000000">
            <w:pPr>
              <w:jc w:val="center"/>
              <w:rPr>
                <w:rFonts w:eastAsia="Times New Roman"/>
              </w:rPr>
            </w:pPr>
            <w:r>
              <w:rPr>
                <w:rFonts w:ascii="Arial" w:eastAsia="Times New Roman" w:hAnsi="Arial" w:cs="Arial"/>
                <w:b/>
                <w:bCs/>
                <w:sz w:val="16"/>
                <w:szCs w:val="16"/>
              </w:rPr>
              <w:t>Total</w:t>
            </w:r>
          </w:p>
        </w:tc>
      </w:tr>
      <w:tr w:rsidR="00BA3275" w14:paraId="4871746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13CE41B" w14:textId="0F88698D" w:rsidR="00BA3275" w:rsidRDefault="00000000">
            <w:pPr>
              <w:rPr>
                <w:rFonts w:eastAsia="Times New Roman"/>
              </w:rPr>
            </w:pPr>
            <w:r>
              <w:rPr>
                <w:rFonts w:ascii="Arial" w:eastAsia="Times New Roman" w:hAnsi="Arial" w:cs="Arial"/>
                <w:sz w:val="16"/>
                <w:szCs w:val="16"/>
              </w:rPr>
              <w:t>Sociais e Estatutárias</w:t>
            </w:r>
            <w:r w:rsidR="00EB1804">
              <w:rPr>
                <w:rFonts w:ascii="Arial" w:eastAsia="Times New Roman" w:hAnsi="Arial" w:cs="Arial"/>
                <w:sz w:val="16"/>
                <w:szCs w:val="16"/>
              </w:rPr>
              <w:t xml:space="preserve"> (15.8)</w:t>
            </w:r>
          </w:p>
        </w:tc>
        <w:tc>
          <w:tcPr>
            <w:tcW w:w="0" w:type="auto"/>
            <w:tcBorders>
              <w:top w:val="outset" w:sz="6" w:space="0" w:color="auto"/>
              <w:left w:val="outset" w:sz="6" w:space="0" w:color="auto"/>
              <w:bottom w:val="outset" w:sz="6" w:space="0" w:color="auto"/>
              <w:right w:val="outset" w:sz="6" w:space="0" w:color="auto"/>
            </w:tcBorders>
            <w:vAlign w:val="center"/>
            <w:hideMark/>
          </w:tcPr>
          <w:p w14:paraId="18078906" w14:textId="77777777" w:rsidR="00BA3275" w:rsidRDefault="00000000" w:rsidP="00EB1804">
            <w:pPr>
              <w:jc w:val="right"/>
              <w:rPr>
                <w:rFonts w:eastAsia="Times New Roman"/>
              </w:rPr>
            </w:pPr>
            <w:r>
              <w:rPr>
                <w:rFonts w:ascii="Arial" w:eastAsia="Times New Roman" w:hAnsi="Arial" w:cs="Arial"/>
                <w:sz w:val="16"/>
                <w:szCs w:val="16"/>
              </w:rPr>
              <w:t>12.298.551,43</w:t>
            </w:r>
          </w:p>
        </w:tc>
        <w:tc>
          <w:tcPr>
            <w:tcW w:w="0" w:type="auto"/>
            <w:tcBorders>
              <w:top w:val="outset" w:sz="6" w:space="0" w:color="auto"/>
              <w:left w:val="outset" w:sz="6" w:space="0" w:color="auto"/>
              <w:bottom w:val="outset" w:sz="6" w:space="0" w:color="auto"/>
              <w:right w:val="outset" w:sz="6" w:space="0" w:color="auto"/>
            </w:tcBorders>
            <w:vAlign w:val="center"/>
            <w:hideMark/>
          </w:tcPr>
          <w:p w14:paraId="74205AE8" w14:textId="77777777" w:rsidR="00BA3275" w:rsidRDefault="00000000" w:rsidP="00EB1804">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4C76AC" w14:textId="77777777" w:rsidR="00BA3275" w:rsidRDefault="00000000">
            <w:pPr>
              <w:jc w:val="right"/>
              <w:rPr>
                <w:rFonts w:eastAsia="Times New Roman"/>
              </w:rPr>
            </w:pPr>
            <w:r>
              <w:rPr>
                <w:rFonts w:ascii="Arial" w:eastAsia="Times New Roman" w:hAnsi="Arial" w:cs="Arial"/>
                <w:sz w:val="16"/>
                <w:szCs w:val="16"/>
              </w:rPr>
              <w:t>12.298.551,43</w:t>
            </w:r>
          </w:p>
        </w:tc>
      </w:tr>
      <w:tr w:rsidR="00BA3275" w14:paraId="61E25C3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38C98E5" w14:textId="7A6C6D91" w:rsidR="00BA3275" w:rsidRDefault="00000000">
            <w:pPr>
              <w:rPr>
                <w:rFonts w:eastAsia="Times New Roman"/>
              </w:rPr>
            </w:pPr>
            <w:r>
              <w:rPr>
                <w:rFonts w:ascii="Arial" w:eastAsia="Times New Roman" w:hAnsi="Arial" w:cs="Arial"/>
                <w:sz w:val="16"/>
                <w:szCs w:val="16"/>
              </w:rPr>
              <w:t>Obrigações de Pagamento em Nome de Terceiros</w:t>
            </w:r>
            <w:r w:rsidR="00EB1804">
              <w:rPr>
                <w:rFonts w:ascii="Arial" w:eastAsia="Times New Roman" w:hAnsi="Arial" w:cs="Arial"/>
                <w:sz w:val="16"/>
                <w:szCs w:val="16"/>
              </w:rPr>
              <w:t xml:space="preserve"> (15.9)</w:t>
            </w:r>
          </w:p>
        </w:tc>
        <w:tc>
          <w:tcPr>
            <w:tcW w:w="0" w:type="auto"/>
            <w:tcBorders>
              <w:top w:val="outset" w:sz="6" w:space="0" w:color="auto"/>
              <w:left w:val="outset" w:sz="6" w:space="0" w:color="auto"/>
              <w:bottom w:val="outset" w:sz="6" w:space="0" w:color="auto"/>
              <w:right w:val="outset" w:sz="6" w:space="0" w:color="auto"/>
            </w:tcBorders>
            <w:vAlign w:val="center"/>
            <w:hideMark/>
          </w:tcPr>
          <w:p w14:paraId="03D2697A" w14:textId="77777777" w:rsidR="00BA3275" w:rsidRDefault="00000000" w:rsidP="00EB1804">
            <w:pPr>
              <w:jc w:val="right"/>
              <w:rPr>
                <w:rFonts w:eastAsia="Times New Roman"/>
              </w:rPr>
            </w:pPr>
            <w:r>
              <w:rPr>
                <w:rFonts w:ascii="Arial" w:eastAsia="Times New Roman" w:hAnsi="Arial" w:cs="Arial"/>
                <w:sz w:val="16"/>
                <w:szCs w:val="16"/>
              </w:rPr>
              <w:t>1.210.495,97</w:t>
            </w:r>
          </w:p>
        </w:tc>
        <w:tc>
          <w:tcPr>
            <w:tcW w:w="0" w:type="auto"/>
            <w:tcBorders>
              <w:top w:val="outset" w:sz="6" w:space="0" w:color="auto"/>
              <w:left w:val="outset" w:sz="6" w:space="0" w:color="auto"/>
              <w:bottom w:val="outset" w:sz="6" w:space="0" w:color="auto"/>
              <w:right w:val="outset" w:sz="6" w:space="0" w:color="auto"/>
            </w:tcBorders>
            <w:vAlign w:val="center"/>
            <w:hideMark/>
          </w:tcPr>
          <w:p w14:paraId="3A253075" w14:textId="77777777" w:rsidR="00BA3275" w:rsidRDefault="00000000" w:rsidP="00EB1804">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C0C8C1" w14:textId="77777777" w:rsidR="00BA3275" w:rsidRDefault="00000000">
            <w:pPr>
              <w:jc w:val="right"/>
              <w:rPr>
                <w:rFonts w:eastAsia="Times New Roman"/>
              </w:rPr>
            </w:pPr>
            <w:r>
              <w:rPr>
                <w:rFonts w:ascii="Arial" w:eastAsia="Times New Roman" w:hAnsi="Arial" w:cs="Arial"/>
                <w:sz w:val="16"/>
                <w:szCs w:val="16"/>
              </w:rPr>
              <w:t>1.210.495,97</w:t>
            </w:r>
          </w:p>
        </w:tc>
      </w:tr>
      <w:tr w:rsidR="00BA3275" w14:paraId="6DE6FF1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3F7B9F6" w14:textId="1A0D5FE6" w:rsidR="00BA3275" w:rsidRDefault="00000000">
            <w:pPr>
              <w:rPr>
                <w:rFonts w:eastAsia="Times New Roman"/>
              </w:rPr>
            </w:pPr>
            <w:r>
              <w:rPr>
                <w:rFonts w:ascii="Arial" w:eastAsia="Times New Roman" w:hAnsi="Arial" w:cs="Arial"/>
                <w:sz w:val="16"/>
                <w:szCs w:val="16"/>
              </w:rPr>
              <w:t xml:space="preserve">Credores Diversos </w:t>
            </w:r>
            <w:r w:rsidR="00EB1804">
              <w:rPr>
                <w:rFonts w:ascii="Arial" w:eastAsia="Times New Roman" w:hAnsi="Arial" w:cs="Arial"/>
                <w:sz w:val="16"/>
                <w:szCs w:val="16"/>
              </w:rPr>
              <w:t>–</w:t>
            </w:r>
            <w:r>
              <w:rPr>
                <w:rFonts w:ascii="Arial" w:eastAsia="Times New Roman" w:hAnsi="Arial" w:cs="Arial"/>
                <w:sz w:val="16"/>
                <w:szCs w:val="16"/>
              </w:rPr>
              <w:t xml:space="preserve"> Pa</w:t>
            </w:r>
            <w:r w:rsidR="00EB1804">
              <w:rPr>
                <w:rFonts w:ascii="Arial" w:eastAsia="Times New Roman" w:hAnsi="Arial" w:cs="Arial"/>
                <w:sz w:val="16"/>
                <w:szCs w:val="16"/>
              </w:rPr>
              <w:t>í</w:t>
            </w:r>
            <w:r>
              <w:rPr>
                <w:rFonts w:ascii="Arial" w:eastAsia="Times New Roman" w:hAnsi="Arial" w:cs="Arial"/>
                <w:sz w:val="16"/>
                <w:szCs w:val="16"/>
              </w:rPr>
              <w:t>s</w:t>
            </w:r>
            <w:r w:rsidR="00EB1804">
              <w:rPr>
                <w:rFonts w:ascii="Arial" w:eastAsia="Times New Roman" w:hAnsi="Arial" w:cs="Arial"/>
                <w:sz w:val="16"/>
                <w:szCs w:val="16"/>
              </w:rPr>
              <w:t xml:space="preserve"> (15.10)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A5FD5E" w14:textId="77777777" w:rsidR="00BA3275" w:rsidRDefault="00000000" w:rsidP="00EB1804">
            <w:pPr>
              <w:jc w:val="right"/>
              <w:rPr>
                <w:rFonts w:eastAsia="Times New Roman"/>
              </w:rPr>
            </w:pPr>
            <w:r>
              <w:rPr>
                <w:rFonts w:ascii="Arial" w:eastAsia="Times New Roman" w:hAnsi="Arial" w:cs="Arial"/>
                <w:sz w:val="16"/>
                <w:szCs w:val="16"/>
              </w:rPr>
              <w:t>1.365.785,28</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5C150" w14:textId="77777777" w:rsidR="00BA3275" w:rsidRDefault="00000000" w:rsidP="00EB1804">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05DC74" w14:textId="77777777" w:rsidR="00BA3275" w:rsidRDefault="00000000">
            <w:pPr>
              <w:jc w:val="right"/>
              <w:rPr>
                <w:rFonts w:eastAsia="Times New Roman"/>
              </w:rPr>
            </w:pPr>
            <w:r>
              <w:rPr>
                <w:rFonts w:ascii="Arial" w:eastAsia="Times New Roman" w:hAnsi="Arial" w:cs="Arial"/>
                <w:sz w:val="16"/>
                <w:szCs w:val="16"/>
              </w:rPr>
              <w:t>1.365.785,28</w:t>
            </w:r>
          </w:p>
        </w:tc>
      </w:tr>
      <w:tr w:rsidR="00BA3275" w14:paraId="5B37997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1D42077" w14:textId="77777777" w:rsidR="00BA3275" w:rsidRDefault="00000000">
            <w:pPr>
              <w:rPr>
                <w:rFonts w:eastAsia="Times New Roman"/>
              </w:rPr>
            </w:pPr>
            <w:r>
              <w:rPr>
                <w:rFonts w:ascii="Arial" w:eastAsia="Times New Roman" w:hAnsi="Arial" w:cs="Arial"/>
                <w:sz w:val="16"/>
                <w:szCs w:val="16"/>
              </w:rPr>
              <w:t>Obrigações por Aquisição de Bens e Direitos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EE67A5" w14:textId="77777777" w:rsidR="00BA3275" w:rsidRDefault="00000000" w:rsidP="00EB1804">
            <w:pPr>
              <w:jc w:val="right"/>
              <w:rPr>
                <w:rFonts w:eastAsia="Times New Roman"/>
              </w:rPr>
            </w:pPr>
            <w:r>
              <w:rPr>
                <w:rFonts w:ascii="Arial" w:eastAsia="Times New Roman" w:hAnsi="Arial" w:cs="Arial"/>
                <w:sz w:val="16"/>
                <w:szCs w:val="16"/>
              </w:rPr>
              <w:t>25.679,47</w:t>
            </w:r>
          </w:p>
        </w:tc>
        <w:tc>
          <w:tcPr>
            <w:tcW w:w="0" w:type="auto"/>
            <w:tcBorders>
              <w:top w:val="outset" w:sz="6" w:space="0" w:color="auto"/>
              <w:left w:val="outset" w:sz="6" w:space="0" w:color="auto"/>
              <w:bottom w:val="outset" w:sz="6" w:space="0" w:color="auto"/>
              <w:right w:val="outset" w:sz="6" w:space="0" w:color="auto"/>
            </w:tcBorders>
            <w:vAlign w:val="center"/>
            <w:hideMark/>
          </w:tcPr>
          <w:p w14:paraId="420B0CCB" w14:textId="77777777" w:rsidR="00BA3275" w:rsidRDefault="00000000" w:rsidP="00EB1804">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F69825" w14:textId="77777777" w:rsidR="00BA3275" w:rsidRDefault="00000000">
            <w:pPr>
              <w:jc w:val="right"/>
              <w:rPr>
                <w:rFonts w:eastAsia="Times New Roman"/>
              </w:rPr>
            </w:pPr>
            <w:r>
              <w:rPr>
                <w:rFonts w:ascii="Arial" w:eastAsia="Times New Roman" w:hAnsi="Arial" w:cs="Arial"/>
                <w:sz w:val="16"/>
                <w:szCs w:val="16"/>
              </w:rPr>
              <w:t>25.679,47</w:t>
            </w:r>
          </w:p>
        </w:tc>
      </w:tr>
      <w:tr w:rsidR="00BA3275" w14:paraId="4676F05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F070B6C" w14:textId="77777777" w:rsidR="00BA3275"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C4E19FB" w14:textId="77777777" w:rsidR="00BA3275" w:rsidRDefault="00000000" w:rsidP="00EB1804">
            <w:pPr>
              <w:jc w:val="right"/>
              <w:rPr>
                <w:rFonts w:eastAsia="Times New Roman"/>
              </w:rPr>
            </w:pPr>
            <w:r>
              <w:rPr>
                <w:rFonts w:ascii="Arial" w:eastAsia="Times New Roman" w:hAnsi="Arial" w:cs="Arial"/>
                <w:b/>
                <w:bCs/>
                <w:sz w:val="16"/>
                <w:szCs w:val="16"/>
              </w:rPr>
              <w:t>14.900.512,15</w:t>
            </w:r>
          </w:p>
        </w:tc>
        <w:tc>
          <w:tcPr>
            <w:tcW w:w="0" w:type="auto"/>
            <w:tcBorders>
              <w:top w:val="outset" w:sz="6" w:space="0" w:color="auto"/>
              <w:left w:val="outset" w:sz="6" w:space="0" w:color="auto"/>
              <w:bottom w:val="outset" w:sz="6" w:space="0" w:color="auto"/>
              <w:right w:val="outset" w:sz="6" w:space="0" w:color="auto"/>
            </w:tcBorders>
            <w:vAlign w:val="center"/>
            <w:hideMark/>
          </w:tcPr>
          <w:p w14:paraId="6B4793D0" w14:textId="77777777" w:rsidR="00BA3275" w:rsidRDefault="00000000" w:rsidP="00EB1804">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3FE8667" w14:textId="77777777" w:rsidR="00BA3275" w:rsidRDefault="00000000">
            <w:pPr>
              <w:jc w:val="right"/>
              <w:rPr>
                <w:rFonts w:eastAsia="Times New Roman"/>
              </w:rPr>
            </w:pPr>
            <w:r>
              <w:rPr>
                <w:rFonts w:ascii="Arial" w:eastAsia="Times New Roman" w:hAnsi="Arial" w:cs="Arial"/>
                <w:b/>
                <w:bCs/>
                <w:sz w:val="16"/>
                <w:szCs w:val="16"/>
              </w:rPr>
              <w:t>14.900.512,15</w:t>
            </w:r>
          </w:p>
        </w:tc>
      </w:tr>
    </w:tbl>
    <w:p w14:paraId="20B85BC1" w14:textId="77777777" w:rsidR="00BA3275" w:rsidRDefault="00000000">
      <w:pPr>
        <w:pStyle w:val="NormalWeb"/>
      </w:pPr>
      <w:r>
        <w:rPr>
          <w:rFonts w:ascii="Arial" w:hAnsi="Arial" w:cs="Arial"/>
          <w:b/>
          <w:bCs/>
          <w:sz w:val="20"/>
          <w:szCs w:val="20"/>
        </w:rPr>
        <w:t>15.8 Passivos Sociais e Estatutárias</w:t>
      </w:r>
    </w:p>
    <w:p w14:paraId="5BA4CD3C" w14:textId="77777777" w:rsidR="00BA3275" w:rsidRDefault="00000000">
      <w:pPr>
        <w:pStyle w:val="NormalWeb"/>
        <w:jc w:val="both"/>
      </w:pPr>
      <w:r>
        <w:rPr>
          <w:rFonts w:ascii="Arial" w:hAnsi="Arial" w:cs="Arial"/>
          <w:sz w:val="20"/>
          <w:szCs w:val="20"/>
        </w:rPr>
        <w:t>A seguir, a composição dos saldos de passivos sociais e estatutárias, e os respectivos detalhamentos:</w:t>
      </w:r>
    </w:p>
    <w:tbl>
      <w:tblPr>
        <w:tblW w:w="5000" w:type="pct"/>
        <w:tblCellMar>
          <w:left w:w="0" w:type="dxa"/>
          <w:right w:w="0" w:type="dxa"/>
        </w:tblCellMar>
        <w:tblLook w:val="04A0" w:firstRow="1" w:lastRow="0" w:firstColumn="1" w:lastColumn="0" w:noHBand="0" w:noVBand="1"/>
      </w:tblPr>
      <w:tblGrid>
        <w:gridCol w:w="5719"/>
        <w:gridCol w:w="1258"/>
        <w:gridCol w:w="1387"/>
        <w:gridCol w:w="1258"/>
      </w:tblGrid>
      <w:tr w:rsidR="00BA3275" w14:paraId="082BBF7C"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C6253A2" w14:textId="77777777" w:rsidR="00BA3275" w:rsidRDefault="00000000">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32F49B7"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6BD61CB3"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5DAEE6" w14:textId="77777777" w:rsidR="00BA3275" w:rsidRDefault="00BA327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0B5F88" w14:textId="77777777" w:rsidR="00BA3275"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95CC42B" w14:textId="77777777" w:rsidR="00BA3275"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6DE5E58" w14:textId="77777777" w:rsidR="00BA3275" w:rsidRDefault="00000000">
            <w:pPr>
              <w:jc w:val="center"/>
              <w:rPr>
                <w:rFonts w:eastAsia="Times New Roman"/>
              </w:rPr>
            </w:pPr>
            <w:r>
              <w:rPr>
                <w:rFonts w:ascii="Arial" w:eastAsia="Times New Roman" w:hAnsi="Arial" w:cs="Arial"/>
                <w:b/>
                <w:bCs/>
                <w:sz w:val="16"/>
                <w:szCs w:val="16"/>
              </w:rPr>
              <w:t>Total</w:t>
            </w:r>
          </w:p>
        </w:tc>
      </w:tr>
      <w:tr w:rsidR="00BA3275" w14:paraId="70E3F23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017EADA" w14:textId="37F0B150" w:rsidR="00BA3275" w:rsidRDefault="00000000">
            <w:pPr>
              <w:rPr>
                <w:rFonts w:eastAsia="Times New Roman"/>
              </w:rPr>
            </w:pPr>
            <w:r>
              <w:rPr>
                <w:rFonts w:ascii="Arial" w:eastAsia="Times New Roman" w:hAnsi="Arial" w:cs="Arial"/>
                <w:sz w:val="16"/>
                <w:szCs w:val="16"/>
              </w:rPr>
              <w:t>Provisão para Juros ao Capital Próprio</w:t>
            </w:r>
            <w:r w:rsidR="004928D8">
              <w:rPr>
                <w:rFonts w:ascii="Arial" w:eastAsia="Times New Roman" w:hAnsi="Arial" w:cs="Arial"/>
                <w:sz w:val="16"/>
                <w:szCs w:val="16"/>
              </w:rPr>
              <w:t xml:space="preserve"> (17.4)</w:t>
            </w:r>
          </w:p>
        </w:tc>
        <w:tc>
          <w:tcPr>
            <w:tcW w:w="0" w:type="auto"/>
            <w:tcBorders>
              <w:top w:val="outset" w:sz="6" w:space="0" w:color="auto"/>
              <w:left w:val="outset" w:sz="6" w:space="0" w:color="auto"/>
              <w:bottom w:val="outset" w:sz="6" w:space="0" w:color="auto"/>
              <w:right w:val="outset" w:sz="6" w:space="0" w:color="auto"/>
            </w:tcBorders>
            <w:vAlign w:val="center"/>
            <w:hideMark/>
          </w:tcPr>
          <w:p w14:paraId="00996F5C" w14:textId="77777777" w:rsidR="00BA3275" w:rsidRDefault="00000000" w:rsidP="00EB1804">
            <w:pPr>
              <w:jc w:val="right"/>
              <w:rPr>
                <w:rFonts w:eastAsia="Times New Roman"/>
              </w:rPr>
            </w:pPr>
            <w:r>
              <w:rPr>
                <w:rFonts w:ascii="Arial" w:eastAsia="Times New Roman" w:hAnsi="Arial" w:cs="Arial"/>
                <w:sz w:val="16"/>
                <w:szCs w:val="16"/>
              </w:rPr>
              <w:t>8.272.435,18</w:t>
            </w:r>
          </w:p>
        </w:tc>
        <w:tc>
          <w:tcPr>
            <w:tcW w:w="0" w:type="auto"/>
            <w:tcBorders>
              <w:top w:val="outset" w:sz="6" w:space="0" w:color="auto"/>
              <w:left w:val="outset" w:sz="6" w:space="0" w:color="auto"/>
              <w:bottom w:val="outset" w:sz="6" w:space="0" w:color="auto"/>
              <w:right w:val="outset" w:sz="6" w:space="0" w:color="auto"/>
            </w:tcBorders>
            <w:vAlign w:val="center"/>
            <w:hideMark/>
          </w:tcPr>
          <w:p w14:paraId="1951DED0" w14:textId="77777777" w:rsidR="00BA3275" w:rsidRDefault="00000000" w:rsidP="00EB1804">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4DD827D" w14:textId="77777777" w:rsidR="00BA3275" w:rsidRDefault="00000000" w:rsidP="00EB1804">
            <w:pPr>
              <w:jc w:val="right"/>
              <w:rPr>
                <w:rFonts w:eastAsia="Times New Roman"/>
              </w:rPr>
            </w:pPr>
            <w:r>
              <w:rPr>
                <w:rFonts w:ascii="Arial" w:eastAsia="Times New Roman" w:hAnsi="Arial" w:cs="Arial"/>
                <w:sz w:val="16"/>
                <w:szCs w:val="16"/>
              </w:rPr>
              <w:t>8.272.435,18</w:t>
            </w:r>
          </w:p>
        </w:tc>
      </w:tr>
      <w:tr w:rsidR="00BA3275" w14:paraId="2D34C4C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3CF8FA0" w14:textId="619D2148" w:rsidR="00BA3275" w:rsidRDefault="00000000">
            <w:pPr>
              <w:rPr>
                <w:rFonts w:eastAsia="Times New Roman"/>
              </w:rPr>
            </w:pPr>
            <w:r>
              <w:rPr>
                <w:rFonts w:ascii="Arial" w:eastAsia="Times New Roman" w:hAnsi="Arial" w:cs="Arial"/>
                <w:sz w:val="16"/>
                <w:szCs w:val="16"/>
              </w:rPr>
              <w:t>Provisão para Participações nos Resultados</w:t>
            </w:r>
            <w:r w:rsidR="00EB1804">
              <w:rPr>
                <w:rFonts w:ascii="Arial" w:eastAsia="Times New Roman" w:hAnsi="Arial" w:cs="Arial"/>
                <w:sz w:val="16"/>
                <w:szCs w:val="16"/>
              </w:rPr>
              <w:t xml:space="preserve"> (a.1)</w:t>
            </w:r>
          </w:p>
        </w:tc>
        <w:tc>
          <w:tcPr>
            <w:tcW w:w="0" w:type="auto"/>
            <w:tcBorders>
              <w:top w:val="outset" w:sz="6" w:space="0" w:color="auto"/>
              <w:left w:val="outset" w:sz="6" w:space="0" w:color="auto"/>
              <w:bottom w:val="outset" w:sz="6" w:space="0" w:color="auto"/>
              <w:right w:val="outset" w:sz="6" w:space="0" w:color="auto"/>
            </w:tcBorders>
            <w:vAlign w:val="center"/>
            <w:hideMark/>
          </w:tcPr>
          <w:p w14:paraId="7CC5EC20" w14:textId="77777777" w:rsidR="00BA3275" w:rsidRDefault="00000000" w:rsidP="00EB1804">
            <w:pPr>
              <w:jc w:val="right"/>
              <w:rPr>
                <w:rFonts w:eastAsia="Times New Roman"/>
              </w:rPr>
            </w:pPr>
            <w:r>
              <w:rPr>
                <w:rFonts w:ascii="Arial" w:eastAsia="Times New Roman" w:hAnsi="Arial" w:cs="Arial"/>
                <w:sz w:val="16"/>
                <w:szCs w:val="16"/>
              </w:rPr>
              <w:t>212.999,69</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08355" w14:textId="77777777" w:rsidR="00BA3275" w:rsidRDefault="00000000" w:rsidP="00EB1804">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EBB2986" w14:textId="77777777" w:rsidR="00BA3275" w:rsidRDefault="00000000" w:rsidP="00EB1804">
            <w:pPr>
              <w:jc w:val="right"/>
              <w:rPr>
                <w:rFonts w:eastAsia="Times New Roman"/>
              </w:rPr>
            </w:pPr>
            <w:r>
              <w:rPr>
                <w:rFonts w:ascii="Arial" w:eastAsia="Times New Roman" w:hAnsi="Arial" w:cs="Arial"/>
                <w:sz w:val="16"/>
                <w:szCs w:val="16"/>
              </w:rPr>
              <w:t>212.999,69</w:t>
            </w:r>
          </w:p>
        </w:tc>
      </w:tr>
      <w:tr w:rsidR="00BA3275" w14:paraId="554DF69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C6D2077" w14:textId="77777777" w:rsidR="00BA3275" w:rsidRDefault="00000000">
            <w:pPr>
              <w:rPr>
                <w:rFonts w:eastAsia="Times New Roman"/>
              </w:rPr>
            </w:pPr>
            <w:r>
              <w:rPr>
                <w:rFonts w:ascii="Arial" w:eastAsia="Times New Roman" w:hAnsi="Arial" w:cs="Arial"/>
                <w:sz w:val="16"/>
                <w:szCs w:val="16"/>
              </w:rPr>
              <w:t>Gratificações a Dirigentes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8354D6" w14:textId="77777777" w:rsidR="00BA3275" w:rsidRDefault="00000000" w:rsidP="00EB1804">
            <w:pPr>
              <w:jc w:val="right"/>
              <w:rPr>
                <w:rFonts w:eastAsia="Times New Roman"/>
              </w:rPr>
            </w:pPr>
            <w:r>
              <w:rPr>
                <w:rFonts w:ascii="Arial" w:eastAsia="Times New Roman" w:hAnsi="Arial" w:cs="Arial"/>
                <w:sz w:val="16"/>
                <w:szCs w:val="16"/>
              </w:rPr>
              <w:t>38.112,48</w:t>
            </w:r>
          </w:p>
        </w:tc>
        <w:tc>
          <w:tcPr>
            <w:tcW w:w="0" w:type="auto"/>
            <w:tcBorders>
              <w:top w:val="outset" w:sz="6" w:space="0" w:color="auto"/>
              <w:left w:val="outset" w:sz="6" w:space="0" w:color="auto"/>
              <w:bottom w:val="outset" w:sz="6" w:space="0" w:color="auto"/>
              <w:right w:val="outset" w:sz="6" w:space="0" w:color="auto"/>
            </w:tcBorders>
            <w:vAlign w:val="center"/>
            <w:hideMark/>
          </w:tcPr>
          <w:p w14:paraId="065A8D42" w14:textId="77777777" w:rsidR="00BA3275" w:rsidRDefault="00000000" w:rsidP="00EB1804">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AE9C596" w14:textId="77777777" w:rsidR="00BA3275" w:rsidRDefault="00000000" w:rsidP="00EB1804">
            <w:pPr>
              <w:jc w:val="right"/>
              <w:rPr>
                <w:rFonts w:eastAsia="Times New Roman"/>
              </w:rPr>
            </w:pPr>
            <w:r>
              <w:rPr>
                <w:rFonts w:ascii="Arial" w:eastAsia="Times New Roman" w:hAnsi="Arial" w:cs="Arial"/>
                <w:sz w:val="16"/>
                <w:szCs w:val="16"/>
              </w:rPr>
              <w:t>38.112,48</w:t>
            </w:r>
          </w:p>
        </w:tc>
      </w:tr>
      <w:tr w:rsidR="00BA3275" w14:paraId="0B89CD2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AF8E1CF" w14:textId="31E2C4BB" w:rsidR="00BA3275" w:rsidRDefault="00000000">
            <w:pPr>
              <w:rPr>
                <w:rFonts w:eastAsia="Times New Roman"/>
              </w:rPr>
            </w:pPr>
            <w:r>
              <w:rPr>
                <w:rFonts w:ascii="Arial" w:eastAsia="Times New Roman" w:hAnsi="Arial" w:cs="Arial"/>
                <w:sz w:val="16"/>
                <w:szCs w:val="16"/>
              </w:rPr>
              <w:t>Cotas de Capital a Pagar</w:t>
            </w:r>
            <w:r w:rsidR="00EB1804">
              <w:rPr>
                <w:rFonts w:ascii="Arial" w:eastAsia="Times New Roman" w:hAnsi="Arial" w:cs="Arial"/>
                <w:sz w:val="16"/>
                <w:szCs w:val="16"/>
              </w:rPr>
              <w:t xml:space="preserve"> (a.2)</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B8077" w14:textId="77777777" w:rsidR="00BA3275" w:rsidRDefault="00000000" w:rsidP="00EB1804">
            <w:pPr>
              <w:jc w:val="right"/>
              <w:rPr>
                <w:rFonts w:eastAsia="Times New Roman"/>
              </w:rPr>
            </w:pPr>
            <w:r>
              <w:rPr>
                <w:rFonts w:ascii="Arial" w:eastAsia="Times New Roman" w:hAnsi="Arial" w:cs="Arial"/>
                <w:sz w:val="16"/>
                <w:szCs w:val="16"/>
              </w:rPr>
              <w:t>1.128.001,81</w:t>
            </w:r>
          </w:p>
        </w:tc>
        <w:tc>
          <w:tcPr>
            <w:tcW w:w="0" w:type="auto"/>
            <w:tcBorders>
              <w:top w:val="outset" w:sz="6" w:space="0" w:color="auto"/>
              <w:left w:val="outset" w:sz="6" w:space="0" w:color="auto"/>
              <w:bottom w:val="outset" w:sz="6" w:space="0" w:color="auto"/>
              <w:right w:val="outset" w:sz="6" w:space="0" w:color="auto"/>
            </w:tcBorders>
            <w:vAlign w:val="center"/>
            <w:hideMark/>
          </w:tcPr>
          <w:p w14:paraId="537C2CE5" w14:textId="77777777" w:rsidR="00BA3275" w:rsidRDefault="00000000" w:rsidP="00EB1804">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DD33AF6" w14:textId="77777777" w:rsidR="00BA3275" w:rsidRDefault="00000000" w:rsidP="00EB1804">
            <w:pPr>
              <w:jc w:val="right"/>
              <w:rPr>
                <w:rFonts w:eastAsia="Times New Roman"/>
              </w:rPr>
            </w:pPr>
            <w:r>
              <w:rPr>
                <w:rFonts w:ascii="Arial" w:eastAsia="Times New Roman" w:hAnsi="Arial" w:cs="Arial"/>
                <w:sz w:val="16"/>
                <w:szCs w:val="16"/>
              </w:rPr>
              <w:t>1.128.001,81</w:t>
            </w:r>
          </w:p>
        </w:tc>
      </w:tr>
      <w:tr w:rsidR="00BA3275" w14:paraId="6FE0011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0912112" w14:textId="1BA1C2D4" w:rsidR="00BA3275" w:rsidRDefault="00000000">
            <w:pPr>
              <w:rPr>
                <w:rFonts w:eastAsia="Times New Roman"/>
              </w:rPr>
            </w:pPr>
            <w:r>
              <w:rPr>
                <w:rFonts w:ascii="Arial" w:eastAsia="Times New Roman" w:hAnsi="Arial" w:cs="Arial"/>
                <w:sz w:val="16"/>
                <w:szCs w:val="16"/>
              </w:rPr>
              <w:t>FATES - Fundo de Assistência Técnica, Educacional e Social</w:t>
            </w:r>
            <w:r w:rsidR="00EB1804">
              <w:rPr>
                <w:rFonts w:ascii="Arial" w:eastAsia="Times New Roman" w:hAnsi="Arial" w:cs="Arial"/>
                <w:sz w:val="16"/>
                <w:szCs w:val="16"/>
              </w:rPr>
              <w:t xml:space="preserve"> (a.3)</w:t>
            </w:r>
          </w:p>
        </w:tc>
        <w:tc>
          <w:tcPr>
            <w:tcW w:w="0" w:type="auto"/>
            <w:tcBorders>
              <w:top w:val="outset" w:sz="6" w:space="0" w:color="auto"/>
              <w:left w:val="outset" w:sz="6" w:space="0" w:color="auto"/>
              <w:bottom w:val="outset" w:sz="6" w:space="0" w:color="auto"/>
              <w:right w:val="outset" w:sz="6" w:space="0" w:color="auto"/>
            </w:tcBorders>
            <w:vAlign w:val="center"/>
            <w:hideMark/>
          </w:tcPr>
          <w:p w14:paraId="1AAE94B2" w14:textId="77777777" w:rsidR="00BA3275" w:rsidRDefault="00000000" w:rsidP="00EB1804">
            <w:pPr>
              <w:jc w:val="right"/>
              <w:rPr>
                <w:rFonts w:eastAsia="Times New Roman"/>
              </w:rPr>
            </w:pPr>
            <w:r>
              <w:rPr>
                <w:rFonts w:ascii="Arial" w:eastAsia="Times New Roman" w:hAnsi="Arial" w:cs="Arial"/>
                <w:sz w:val="16"/>
                <w:szCs w:val="16"/>
              </w:rPr>
              <w:t>2.647.002,27</w:t>
            </w:r>
          </w:p>
        </w:tc>
        <w:tc>
          <w:tcPr>
            <w:tcW w:w="0" w:type="auto"/>
            <w:tcBorders>
              <w:top w:val="outset" w:sz="6" w:space="0" w:color="auto"/>
              <w:left w:val="outset" w:sz="6" w:space="0" w:color="auto"/>
              <w:bottom w:val="outset" w:sz="6" w:space="0" w:color="auto"/>
              <w:right w:val="outset" w:sz="6" w:space="0" w:color="auto"/>
            </w:tcBorders>
            <w:vAlign w:val="center"/>
            <w:hideMark/>
          </w:tcPr>
          <w:p w14:paraId="368B2C62" w14:textId="77777777" w:rsidR="00BA3275" w:rsidRDefault="00000000" w:rsidP="00EB1804">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27C87" w14:textId="77777777" w:rsidR="00BA3275" w:rsidRDefault="00000000" w:rsidP="00EB1804">
            <w:pPr>
              <w:jc w:val="right"/>
              <w:rPr>
                <w:rFonts w:eastAsia="Times New Roman"/>
              </w:rPr>
            </w:pPr>
            <w:r>
              <w:rPr>
                <w:rFonts w:ascii="Arial" w:eastAsia="Times New Roman" w:hAnsi="Arial" w:cs="Arial"/>
                <w:sz w:val="16"/>
                <w:szCs w:val="16"/>
              </w:rPr>
              <w:t>2.647.002,27</w:t>
            </w:r>
          </w:p>
        </w:tc>
      </w:tr>
      <w:tr w:rsidR="00BA3275" w14:paraId="4F1F781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F97869B" w14:textId="77777777" w:rsidR="00BA3275"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313D6D3" w14:textId="77777777" w:rsidR="00BA3275" w:rsidRDefault="00000000" w:rsidP="00EB1804">
            <w:pPr>
              <w:jc w:val="right"/>
              <w:rPr>
                <w:rFonts w:eastAsia="Times New Roman"/>
              </w:rPr>
            </w:pPr>
            <w:r>
              <w:rPr>
                <w:rFonts w:ascii="Arial" w:eastAsia="Times New Roman" w:hAnsi="Arial" w:cs="Arial"/>
                <w:b/>
                <w:bCs/>
                <w:sz w:val="16"/>
                <w:szCs w:val="16"/>
              </w:rPr>
              <w:t>12.298.551,43</w:t>
            </w:r>
          </w:p>
        </w:tc>
        <w:tc>
          <w:tcPr>
            <w:tcW w:w="0" w:type="auto"/>
            <w:tcBorders>
              <w:top w:val="outset" w:sz="6" w:space="0" w:color="auto"/>
              <w:left w:val="outset" w:sz="6" w:space="0" w:color="auto"/>
              <w:bottom w:val="outset" w:sz="6" w:space="0" w:color="auto"/>
              <w:right w:val="outset" w:sz="6" w:space="0" w:color="auto"/>
            </w:tcBorders>
            <w:vAlign w:val="center"/>
            <w:hideMark/>
          </w:tcPr>
          <w:p w14:paraId="5B2559DB" w14:textId="77777777" w:rsidR="00BA3275" w:rsidRDefault="00000000" w:rsidP="00EB1804">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2F5147B" w14:textId="77777777" w:rsidR="00BA3275" w:rsidRDefault="00000000" w:rsidP="00EB1804">
            <w:pPr>
              <w:jc w:val="right"/>
              <w:rPr>
                <w:rFonts w:eastAsia="Times New Roman"/>
              </w:rPr>
            </w:pPr>
            <w:r>
              <w:rPr>
                <w:rFonts w:ascii="Arial" w:eastAsia="Times New Roman" w:hAnsi="Arial" w:cs="Arial"/>
                <w:b/>
                <w:bCs/>
                <w:sz w:val="16"/>
                <w:szCs w:val="16"/>
              </w:rPr>
              <w:t>12.298.551,43</w:t>
            </w:r>
          </w:p>
        </w:tc>
      </w:tr>
    </w:tbl>
    <w:p w14:paraId="1D3BE3F0" w14:textId="77777777" w:rsidR="00BA3275" w:rsidRDefault="00000000">
      <w:pPr>
        <w:pStyle w:val="NormalWeb"/>
        <w:jc w:val="both"/>
      </w:pPr>
      <w:r>
        <w:rPr>
          <w:rFonts w:ascii="Arial" w:hAnsi="Arial" w:cs="Arial"/>
          <w:sz w:val="20"/>
          <w:szCs w:val="20"/>
        </w:rPr>
        <w:t>a.1) A Participação dos empregados nos Resultados está consubstanciada pela Lei 10.101/2000 e por convenção coletiva. A Cooperativa constituiu provisão a título de participação dos empregados em resultado e essa, modalidade de remuneração variável não se incorpora aos salários dos empregados e está atrelada à performance da Cooperativa. A legislação determina que o pagamento seja efetuado de acordo com regras previamente estabelecidas por meio de Acordo Coletivo de Trabalho homologado junto ao sindicato da categoria e devidamente registrado no Ministério do Trabalho;</w:t>
      </w:r>
    </w:p>
    <w:p w14:paraId="3CDA465C" w14:textId="744C2FA9" w:rsidR="00BA3275" w:rsidRDefault="00000000">
      <w:pPr>
        <w:pStyle w:val="NormalWeb"/>
        <w:jc w:val="both"/>
      </w:pPr>
      <w:r>
        <w:rPr>
          <w:rFonts w:ascii="Arial" w:hAnsi="Arial" w:cs="Arial"/>
          <w:sz w:val="20"/>
          <w:szCs w:val="20"/>
        </w:rPr>
        <w:t>a.</w:t>
      </w:r>
      <w:r w:rsidR="00EB1804">
        <w:rPr>
          <w:rFonts w:ascii="Arial" w:hAnsi="Arial" w:cs="Arial"/>
          <w:sz w:val="20"/>
          <w:szCs w:val="20"/>
        </w:rPr>
        <w:t>2</w:t>
      </w:r>
      <w:r>
        <w:rPr>
          <w:rFonts w:ascii="Arial" w:hAnsi="Arial" w:cs="Arial"/>
          <w:sz w:val="20"/>
          <w:szCs w:val="20"/>
        </w:rPr>
        <w:t>) Refere-se ao valor de cota capital a ser devolvida para os associados que solicitaram o desligamento do quadro social;</w:t>
      </w:r>
    </w:p>
    <w:p w14:paraId="1CCA1B9A" w14:textId="47AC4FEA" w:rsidR="00BA3275" w:rsidRDefault="00000000">
      <w:pPr>
        <w:pStyle w:val="NormalWeb"/>
        <w:jc w:val="both"/>
      </w:pPr>
      <w:r>
        <w:rPr>
          <w:rFonts w:ascii="Arial" w:hAnsi="Arial" w:cs="Arial"/>
          <w:sz w:val="20"/>
          <w:szCs w:val="20"/>
        </w:rPr>
        <w:t>a.</w:t>
      </w:r>
      <w:r w:rsidR="00EB1804">
        <w:rPr>
          <w:rFonts w:ascii="Arial" w:hAnsi="Arial" w:cs="Arial"/>
          <w:sz w:val="20"/>
          <w:szCs w:val="20"/>
        </w:rPr>
        <w:t>3</w:t>
      </w:r>
      <w:r>
        <w:rPr>
          <w:rFonts w:ascii="Arial" w:hAnsi="Arial" w:cs="Arial"/>
          <w:sz w:val="20"/>
          <w:szCs w:val="20"/>
        </w:rPr>
        <w:t>) O Fundo de Assistência Técnica, Educacional e Social – FATES é destinado às atividades educacionais, à prestação de assistência aos Associados, seus familiares e empregados da Cooperativa, sendo constituído pelo resultado dos atos não cooperativos e percentual das sobras líquidas do ato cooperativo, conforme determinação estatutária. A classificação desses valores em contas passivas segue a determinação do Plano Contábil das Instituições do Sistema Financeiro Nacional – COSIF. Atendendo à instrução do CMN, por meio da Resolução nº 4.872/2020, o FATES é registrado como exigibilidade, e utilizado em despesas para as quais se destina, ao final do exercício, há a reversão dos dispêndios de FATES para a conta de Sobras ou Perdas Acumuladas, conforme a Lei nº 5.764/1971.</w:t>
      </w:r>
    </w:p>
    <w:p w14:paraId="43D831AC" w14:textId="7AEA70EF" w:rsidR="00EB1804" w:rsidRDefault="00EB1804" w:rsidP="00EB1804">
      <w:pPr>
        <w:pStyle w:val="NormalWeb"/>
      </w:pPr>
      <w:r>
        <w:rPr>
          <w:rFonts w:ascii="Arial" w:hAnsi="Arial" w:cs="Arial"/>
          <w:b/>
          <w:bCs/>
          <w:sz w:val="20"/>
          <w:szCs w:val="20"/>
        </w:rPr>
        <w:t xml:space="preserve">15.9 Obrigações de Pagamento em Nome de Terceiros </w:t>
      </w:r>
    </w:p>
    <w:p w14:paraId="57F672F1" w14:textId="77777777" w:rsidR="00EB1804" w:rsidRDefault="00EB1804" w:rsidP="00EB1804">
      <w:pPr>
        <w:pStyle w:val="NormalWeb"/>
        <w:jc w:val="both"/>
      </w:pPr>
      <w:r>
        <w:rPr>
          <w:rFonts w:ascii="Arial" w:hAnsi="Arial" w:cs="Arial"/>
          <w:sz w:val="20"/>
          <w:szCs w:val="20"/>
        </w:rPr>
        <w:t>O saldo apresentado em Obrigações de Pagamento em Nome de Terceiros refere-se aos recursos destinados ao pagamento de salários, vencimentos e similares, cuja prestação de serviço é pactuada por meio de contrato entre a Cooperativa e a instituição pagadora.</w:t>
      </w:r>
    </w:p>
    <w:p w14:paraId="412CA664" w14:textId="0A2AB56F" w:rsidR="00BA3275" w:rsidRDefault="00000000">
      <w:pPr>
        <w:pStyle w:val="NormalWeb"/>
      </w:pPr>
      <w:r>
        <w:rPr>
          <w:rFonts w:ascii="Arial" w:hAnsi="Arial" w:cs="Arial"/>
          <w:b/>
          <w:bCs/>
          <w:sz w:val="20"/>
          <w:szCs w:val="20"/>
        </w:rPr>
        <w:t>15.</w:t>
      </w:r>
      <w:r w:rsidR="00EB1804">
        <w:rPr>
          <w:rFonts w:ascii="Arial" w:hAnsi="Arial" w:cs="Arial"/>
          <w:b/>
          <w:bCs/>
          <w:sz w:val="20"/>
          <w:szCs w:val="20"/>
        </w:rPr>
        <w:t>10</w:t>
      </w:r>
      <w:r>
        <w:rPr>
          <w:rFonts w:ascii="Arial" w:hAnsi="Arial" w:cs="Arial"/>
          <w:b/>
          <w:bCs/>
          <w:sz w:val="20"/>
          <w:szCs w:val="20"/>
        </w:rPr>
        <w:t xml:space="preserve"> Credores Diversos </w:t>
      </w:r>
    </w:p>
    <w:p w14:paraId="68F825E3" w14:textId="77777777" w:rsidR="00BA3275" w:rsidRDefault="00000000">
      <w:pPr>
        <w:pStyle w:val="NormalWeb"/>
        <w:jc w:val="both"/>
      </w:pPr>
      <w:r>
        <w:rPr>
          <w:rFonts w:ascii="Arial" w:hAnsi="Arial" w:cs="Arial"/>
          <w:sz w:val="20"/>
          <w:szCs w:val="20"/>
        </w:rPr>
        <w:t>Os saldos em Credores Diversos - País referem-se:</w:t>
      </w:r>
    </w:p>
    <w:tbl>
      <w:tblPr>
        <w:tblW w:w="5000" w:type="pct"/>
        <w:tblCellMar>
          <w:left w:w="0" w:type="dxa"/>
          <w:right w:w="0" w:type="dxa"/>
        </w:tblCellMar>
        <w:tblLook w:val="04A0" w:firstRow="1" w:lastRow="0" w:firstColumn="1" w:lastColumn="0" w:noHBand="0" w:noVBand="1"/>
      </w:tblPr>
      <w:tblGrid>
        <w:gridCol w:w="6073"/>
        <w:gridCol w:w="1107"/>
        <w:gridCol w:w="1335"/>
        <w:gridCol w:w="1107"/>
      </w:tblGrid>
      <w:tr w:rsidR="00BA3275" w14:paraId="5E93BD1A"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2D27452" w14:textId="77777777" w:rsidR="00BA3275" w:rsidRDefault="00000000">
            <w:pPr>
              <w:jc w:val="center"/>
              <w:rPr>
                <w:rFonts w:eastAsia="Times New Roman"/>
              </w:rPr>
            </w:pPr>
            <w:r>
              <w:rPr>
                <w:rFonts w:ascii="Arial" w:eastAsia="Times New Roman" w:hAnsi="Arial" w:cs="Arial"/>
                <w:b/>
                <w:bCs/>
                <w:sz w:val="16"/>
                <w:szCs w:val="16"/>
              </w:rPr>
              <w:lastRenderedPageBreak/>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EC5351F"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48E970D1"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CA7C4A" w14:textId="77777777" w:rsidR="00BA3275" w:rsidRDefault="00BA327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0F07A9" w14:textId="77777777" w:rsidR="00BA3275"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6A5C400" w14:textId="77777777" w:rsidR="00BA3275"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05CF32A" w14:textId="77777777" w:rsidR="00BA3275" w:rsidRDefault="00000000">
            <w:pPr>
              <w:jc w:val="center"/>
              <w:rPr>
                <w:rFonts w:eastAsia="Times New Roman"/>
              </w:rPr>
            </w:pPr>
            <w:r>
              <w:rPr>
                <w:rFonts w:ascii="Arial" w:eastAsia="Times New Roman" w:hAnsi="Arial" w:cs="Arial"/>
                <w:b/>
                <w:bCs/>
                <w:sz w:val="16"/>
                <w:szCs w:val="16"/>
              </w:rPr>
              <w:t>Total</w:t>
            </w:r>
          </w:p>
        </w:tc>
      </w:tr>
      <w:tr w:rsidR="00BA3275" w14:paraId="6BFFDB4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E99E49B" w14:textId="77777777" w:rsidR="00BA3275" w:rsidRDefault="00000000">
            <w:pPr>
              <w:rPr>
                <w:rFonts w:eastAsia="Times New Roman"/>
              </w:rPr>
            </w:pPr>
            <w:r>
              <w:rPr>
                <w:rFonts w:ascii="Arial" w:eastAsia="Times New Roman" w:hAnsi="Arial" w:cs="Arial"/>
                <w:sz w:val="16"/>
                <w:szCs w:val="16"/>
              </w:rPr>
              <w:t>Pendências a Regularizar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30E3F09E" w14:textId="77777777" w:rsidR="00BA3275" w:rsidRDefault="00000000" w:rsidP="00EB1804">
            <w:pPr>
              <w:jc w:val="right"/>
              <w:rPr>
                <w:rFonts w:eastAsia="Times New Roman"/>
              </w:rPr>
            </w:pPr>
            <w:r>
              <w:rPr>
                <w:rFonts w:ascii="Arial" w:eastAsia="Times New Roman" w:hAnsi="Arial" w:cs="Arial"/>
                <w:sz w:val="16"/>
                <w:szCs w:val="16"/>
              </w:rPr>
              <w:t>3.829,68</w:t>
            </w:r>
          </w:p>
        </w:tc>
        <w:tc>
          <w:tcPr>
            <w:tcW w:w="0" w:type="auto"/>
            <w:tcBorders>
              <w:top w:val="outset" w:sz="6" w:space="0" w:color="auto"/>
              <w:left w:val="outset" w:sz="6" w:space="0" w:color="auto"/>
              <w:bottom w:val="outset" w:sz="6" w:space="0" w:color="auto"/>
              <w:right w:val="outset" w:sz="6" w:space="0" w:color="auto"/>
            </w:tcBorders>
            <w:vAlign w:val="center"/>
            <w:hideMark/>
          </w:tcPr>
          <w:p w14:paraId="33929CDD" w14:textId="77777777" w:rsidR="00BA3275" w:rsidRDefault="00000000" w:rsidP="00EB1804">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89E5B" w14:textId="77777777" w:rsidR="00BA3275" w:rsidRDefault="00000000">
            <w:pPr>
              <w:jc w:val="right"/>
              <w:rPr>
                <w:rFonts w:eastAsia="Times New Roman"/>
              </w:rPr>
            </w:pPr>
            <w:r>
              <w:rPr>
                <w:rFonts w:ascii="Arial" w:eastAsia="Times New Roman" w:hAnsi="Arial" w:cs="Arial"/>
                <w:sz w:val="16"/>
                <w:szCs w:val="16"/>
              </w:rPr>
              <w:t>3.829,68</w:t>
            </w:r>
          </w:p>
        </w:tc>
      </w:tr>
      <w:tr w:rsidR="00BA3275" w14:paraId="0977437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18B306B" w14:textId="77777777" w:rsidR="00BA3275" w:rsidRDefault="00000000">
            <w:pPr>
              <w:rPr>
                <w:rFonts w:eastAsia="Times New Roman"/>
              </w:rPr>
            </w:pPr>
            <w:r>
              <w:rPr>
                <w:rFonts w:ascii="Arial" w:eastAsia="Times New Roman" w:hAnsi="Arial" w:cs="Arial"/>
                <w:sz w:val="16"/>
                <w:szCs w:val="16"/>
              </w:rPr>
              <w:t>Valores a Repassar à 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3CD509C" w14:textId="77777777" w:rsidR="00BA3275" w:rsidRDefault="00000000" w:rsidP="00EB1804">
            <w:pPr>
              <w:jc w:val="right"/>
              <w:rPr>
                <w:rFonts w:eastAsia="Times New Roman"/>
              </w:rPr>
            </w:pPr>
            <w:r>
              <w:rPr>
                <w:rFonts w:ascii="Arial" w:eastAsia="Times New Roman" w:hAnsi="Arial" w:cs="Arial"/>
                <w:sz w:val="16"/>
                <w:szCs w:val="16"/>
              </w:rPr>
              <w:t>95.097,48</w:t>
            </w:r>
          </w:p>
        </w:tc>
        <w:tc>
          <w:tcPr>
            <w:tcW w:w="0" w:type="auto"/>
            <w:tcBorders>
              <w:top w:val="outset" w:sz="6" w:space="0" w:color="auto"/>
              <w:left w:val="outset" w:sz="6" w:space="0" w:color="auto"/>
              <w:bottom w:val="outset" w:sz="6" w:space="0" w:color="auto"/>
              <w:right w:val="outset" w:sz="6" w:space="0" w:color="auto"/>
            </w:tcBorders>
            <w:vAlign w:val="center"/>
            <w:hideMark/>
          </w:tcPr>
          <w:p w14:paraId="569A6569" w14:textId="77777777" w:rsidR="00BA3275" w:rsidRDefault="00000000" w:rsidP="00EB1804">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3146D5" w14:textId="77777777" w:rsidR="00BA3275" w:rsidRDefault="00000000">
            <w:pPr>
              <w:jc w:val="right"/>
              <w:rPr>
                <w:rFonts w:eastAsia="Times New Roman"/>
              </w:rPr>
            </w:pPr>
            <w:r>
              <w:rPr>
                <w:rFonts w:ascii="Arial" w:eastAsia="Times New Roman" w:hAnsi="Arial" w:cs="Arial"/>
                <w:sz w:val="16"/>
                <w:szCs w:val="16"/>
              </w:rPr>
              <w:t>95.097,48</w:t>
            </w:r>
          </w:p>
        </w:tc>
      </w:tr>
      <w:tr w:rsidR="00BA3275" w14:paraId="1112368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F6480F4" w14:textId="77777777" w:rsidR="00BA3275" w:rsidRDefault="00000000">
            <w:pPr>
              <w:rPr>
                <w:rFonts w:eastAsia="Times New Roman"/>
              </w:rPr>
            </w:pPr>
            <w:r>
              <w:rPr>
                <w:rFonts w:ascii="Arial" w:eastAsia="Times New Roman" w:hAnsi="Arial" w:cs="Arial"/>
                <w:sz w:val="16"/>
                <w:szCs w:val="16"/>
              </w:rPr>
              <w:t>Cheques Depositados Relativos a Descontos Aguardando Compensação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DB3DE1F" w14:textId="77777777" w:rsidR="00BA3275" w:rsidRDefault="00000000" w:rsidP="00EB1804">
            <w:pPr>
              <w:jc w:val="right"/>
              <w:rPr>
                <w:rFonts w:eastAsia="Times New Roman"/>
              </w:rPr>
            </w:pPr>
            <w:r>
              <w:rPr>
                <w:rFonts w:ascii="Arial" w:eastAsia="Times New Roman" w:hAnsi="Arial" w:cs="Arial"/>
                <w:sz w:val="16"/>
                <w:szCs w:val="16"/>
              </w:rPr>
              <w:t>282.670,24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CF7B2" w14:textId="77777777" w:rsidR="00BA3275" w:rsidRDefault="00000000" w:rsidP="00EB1804">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97367D" w14:textId="77777777" w:rsidR="00BA3275" w:rsidRDefault="00000000">
            <w:pPr>
              <w:jc w:val="right"/>
              <w:rPr>
                <w:rFonts w:eastAsia="Times New Roman"/>
              </w:rPr>
            </w:pPr>
            <w:r>
              <w:rPr>
                <w:rFonts w:ascii="Arial" w:eastAsia="Times New Roman" w:hAnsi="Arial" w:cs="Arial"/>
                <w:sz w:val="16"/>
                <w:szCs w:val="16"/>
              </w:rPr>
              <w:t>282.670,24</w:t>
            </w:r>
          </w:p>
        </w:tc>
      </w:tr>
      <w:tr w:rsidR="00BA3275" w14:paraId="135E5F7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2C36A3C" w14:textId="77777777" w:rsidR="00BA3275" w:rsidRDefault="00000000">
            <w:pPr>
              <w:rPr>
                <w:rFonts w:eastAsia="Times New Roman"/>
              </w:rPr>
            </w:pPr>
            <w:r>
              <w:rPr>
                <w:rFonts w:ascii="Arial" w:eastAsia="Times New Roman" w:hAnsi="Arial" w:cs="Arial"/>
                <w:sz w:val="16"/>
                <w:szCs w:val="16"/>
              </w:rPr>
              <w:t>Diferença de Caixa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1DCF3D51" w14:textId="77777777" w:rsidR="00BA3275" w:rsidRDefault="00000000" w:rsidP="00EB1804">
            <w:pPr>
              <w:jc w:val="right"/>
              <w:rPr>
                <w:rFonts w:eastAsia="Times New Roman"/>
              </w:rPr>
            </w:pPr>
            <w:r>
              <w:rPr>
                <w:rFonts w:ascii="Arial" w:eastAsia="Times New Roman" w:hAnsi="Arial" w:cs="Arial"/>
                <w:sz w:val="16"/>
                <w:szCs w:val="16"/>
              </w:rPr>
              <w:t>6.898,90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004C6" w14:textId="77777777" w:rsidR="00BA3275" w:rsidRDefault="00000000" w:rsidP="00EB1804">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740131" w14:textId="77777777" w:rsidR="00BA3275" w:rsidRDefault="00000000">
            <w:pPr>
              <w:jc w:val="right"/>
              <w:rPr>
                <w:rFonts w:eastAsia="Times New Roman"/>
              </w:rPr>
            </w:pPr>
            <w:r>
              <w:rPr>
                <w:rFonts w:ascii="Arial" w:eastAsia="Times New Roman" w:hAnsi="Arial" w:cs="Arial"/>
                <w:sz w:val="16"/>
                <w:szCs w:val="16"/>
              </w:rPr>
              <w:t>6.898,90</w:t>
            </w:r>
          </w:p>
        </w:tc>
      </w:tr>
      <w:tr w:rsidR="00BA3275" w14:paraId="2875CBC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6800CBA" w14:textId="77777777" w:rsidR="00BA3275" w:rsidRDefault="00000000">
            <w:pPr>
              <w:rPr>
                <w:rFonts w:eastAsia="Times New Roman"/>
              </w:rPr>
            </w:pPr>
            <w:r>
              <w:rPr>
                <w:rFonts w:ascii="Arial" w:eastAsia="Times New Roman" w:hAnsi="Arial" w:cs="Arial"/>
                <w:sz w:val="16"/>
                <w:szCs w:val="16"/>
              </w:rPr>
              <w:t>Pendências a Regularizar</w:t>
            </w:r>
          </w:p>
        </w:tc>
        <w:tc>
          <w:tcPr>
            <w:tcW w:w="0" w:type="auto"/>
            <w:tcBorders>
              <w:top w:val="outset" w:sz="6" w:space="0" w:color="auto"/>
              <w:left w:val="outset" w:sz="6" w:space="0" w:color="auto"/>
              <w:bottom w:val="outset" w:sz="6" w:space="0" w:color="auto"/>
              <w:right w:val="outset" w:sz="6" w:space="0" w:color="auto"/>
            </w:tcBorders>
            <w:vAlign w:val="center"/>
            <w:hideMark/>
          </w:tcPr>
          <w:p w14:paraId="19750886" w14:textId="77777777" w:rsidR="00BA3275" w:rsidRDefault="00000000" w:rsidP="00EB1804">
            <w:pPr>
              <w:jc w:val="right"/>
              <w:rPr>
                <w:rFonts w:eastAsia="Times New Roman"/>
              </w:rPr>
            </w:pPr>
            <w:r>
              <w:rPr>
                <w:rFonts w:ascii="Arial" w:eastAsia="Times New Roman" w:hAnsi="Arial" w:cs="Arial"/>
                <w:sz w:val="16"/>
                <w:szCs w:val="16"/>
              </w:rPr>
              <w:t>539.915,34</w:t>
            </w:r>
          </w:p>
        </w:tc>
        <w:tc>
          <w:tcPr>
            <w:tcW w:w="0" w:type="auto"/>
            <w:tcBorders>
              <w:top w:val="outset" w:sz="6" w:space="0" w:color="auto"/>
              <w:left w:val="outset" w:sz="6" w:space="0" w:color="auto"/>
              <w:bottom w:val="outset" w:sz="6" w:space="0" w:color="auto"/>
              <w:right w:val="outset" w:sz="6" w:space="0" w:color="auto"/>
            </w:tcBorders>
            <w:vAlign w:val="center"/>
            <w:hideMark/>
          </w:tcPr>
          <w:p w14:paraId="39D4C510" w14:textId="77777777" w:rsidR="00BA3275" w:rsidRDefault="00000000" w:rsidP="00EB1804">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98BC1F" w14:textId="77777777" w:rsidR="00BA3275" w:rsidRDefault="00000000">
            <w:pPr>
              <w:jc w:val="right"/>
              <w:rPr>
                <w:rFonts w:eastAsia="Times New Roman"/>
              </w:rPr>
            </w:pPr>
            <w:r>
              <w:rPr>
                <w:rFonts w:ascii="Arial" w:eastAsia="Times New Roman" w:hAnsi="Arial" w:cs="Arial"/>
                <w:sz w:val="16"/>
                <w:szCs w:val="16"/>
              </w:rPr>
              <w:t>539.915,34</w:t>
            </w:r>
          </w:p>
        </w:tc>
      </w:tr>
      <w:tr w:rsidR="00BA3275" w14:paraId="04D74E1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A1754F4" w14:textId="77777777" w:rsidR="00BA3275" w:rsidRDefault="00000000">
            <w:pPr>
              <w:rPr>
                <w:rFonts w:eastAsia="Times New Roman"/>
              </w:rPr>
            </w:pPr>
            <w:r>
              <w:rPr>
                <w:rFonts w:ascii="Arial" w:eastAsia="Times New Roman" w:hAnsi="Arial" w:cs="Arial"/>
                <w:sz w:val="16"/>
                <w:szCs w:val="16"/>
              </w:rPr>
              <w:t xml:space="preserve">Desconto Folha </w:t>
            </w:r>
            <w:proofErr w:type="spellStart"/>
            <w:r>
              <w:rPr>
                <w:rFonts w:ascii="Arial" w:eastAsia="Times New Roman" w:hAnsi="Arial" w:cs="Arial"/>
                <w:sz w:val="16"/>
                <w:szCs w:val="16"/>
              </w:rPr>
              <w:t>Pgto</w:t>
            </w:r>
            <w:proofErr w:type="spellEnd"/>
            <w:r>
              <w:rPr>
                <w:rFonts w:ascii="Arial" w:eastAsia="Times New Roman" w:hAnsi="Arial" w:cs="Arial"/>
                <w:sz w:val="16"/>
                <w:szCs w:val="16"/>
              </w:rPr>
              <w:t xml:space="preserve"> - Crédito Consignado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7C22EF4D" w14:textId="77777777" w:rsidR="00BA3275" w:rsidRDefault="00000000" w:rsidP="00EB1804">
            <w:pPr>
              <w:jc w:val="right"/>
              <w:rPr>
                <w:rFonts w:eastAsia="Times New Roman"/>
              </w:rPr>
            </w:pPr>
            <w:r>
              <w:rPr>
                <w:rFonts w:ascii="Arial" w:eastAsia="Times New Roman" w:hAnsi="Arial" w:cs="Arial"/>
                <w:sz w:val="16"/>
                <w:szCs w:val="16"/>
              </w:rPr>
              <w:t>51.314,06</w:t>
            </w:r>
          </w:p>
        </w:tc>
        <w:tc>
          <w:tcPr>
            <w:tcW w:w="0" w:type="auto"/>
            <w:tcBorders>
              <w:top w:val="outset" w:sz="6" w:space="0" w:color="auto"/>
              <w:left w:val="outset" w:sz="6" w:space="0" w:color="auto"/>
              <w:bottom w:val="outset" w:sz="6" w:space="0" w:color="auto"/>
              <w:right w:val="outset" w:sz="6" w:space="0" w:color="auto"/>
            </w:tcBorders>
            <w:vAlign w:val="center"/>
            <w:hideMark/>
          </w:tcPr>
          <w:p w14:paraId="634354EE" w14:textId="77777777" w:rsidR="00BA3275" w:rsidRDefault="00000000" w:rsidP="00EB1804">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1E2752" w14:textId="77777777" w:rsidR="00BA3275" w:rsidRDefault="00000000">
            <w:pPr>
              <w:jc w:val="right"/>
              <w:rPr>
                <w:rFonts w:eastAsia="Times New Roman"/>
              </w:rPr>
            </w:pPr>
            <w:r>
              <w:rPr>
                <w:rFonts w:ascii="Arial" w:eastAsia="Times New Roman" w:hAnsi="Arial" w:cs="Arial"/>
                <w:sz w:val="16"/>
                <w:szCs w:val="16"/>
              </w:rPr>
              <w:t>51.314,06</w:t>
            </w:r>
          </w:p>
        </w:tc>
      </w:tr>
      <w:tr w:rsidR="00BA3275" w14:paraId="4E1027B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2DC2911" w14:textId="77777777" w:rsidR="00BA3275" w:rsidRDefault="00000000">
            <w:pPr>
              <w:rPr>
                <w:rFonts w:eastAsia="Times New Roman"/>
              </w:rPr>
            </w:pPr>
            <w:r>
              <w:rPr>
                <w:rFonts w:ascii="Arial" w:eastAsia="Times New Roman" w:hAnsi="Arial" w:cs="Arial"/>
                <w:sz w:val="16"/>
                <w:szCs w:val="16"/>
              </w:rPr>
              <w:t>Outros Credores Diversos - País</w:t>
            </w:r>
          </w:p>
        </w:tc>
        <w:tc>
          <w:tcPr>
            <w:tcW w:w="0" w:type="auto"/>
            <w:tcBorders>
              <w:top w:val="outset" w:sz="6" w:space="0" w:color="auto"/>
              <w:left w:val="outset" w:sz="6" w:space="0" w:color="auto"/>
              <w:bottom w:val="outset" w:sz="6" w:space="0" w:color="auto"/>
              <w:right w:val="outset" w:sz="6" w:space="0" w:color="auto"/>
            </w:tcBorders>
            <w:vAlign w:val="center"/>
            <w:hideMark/>
          </w:tcPr>
          <w:p w14:paraId="6320410C" w14:textId="77777777" w:rsidR="00BA3275" w:rsidRDefault="00000000" w:rsidP="00EB1804">
            <w:pPr>
              <w:jc w:val="right"/>
              <w:rPr>
                <w:rFonts w:eastAsia="Times New Roman"/>
              </w:rPr>
            </w:pPr>
            <w:r>
              <w:rPr>
                <w:rFonts w:ascii="Arial" w:eastAsia="Times New Roman" w:hAnsi="Arial" w:cs="Arial"/>
                <w:sz w:val="16"/>
                <w:szCs w:val="16"/>
              </w:rPr>
              <w:t>386.059,58</w:t>
            </w:r>
          </w:p>
        </w:tc>
        <w:tc>
          <w:tcPr>
            <w:tcW w:w="0" w:type="auto"/>
            <w:tcBorders>
              <w:top w:val="outset" w:sz="6" w:space="0" w:color="auto"/>
              <w:left w:val="outset" w:sz="6" w:space="0" w:color="auto"/>
              <w:bottom w:val="outset" w:sz="6" w:space="0" w:color="auto"/>
              <w:right w:val="outset" w:sz="6" w:space="0" w:color="auto"/>
            </w:tcBorders>
            <w:vAlign w:val="center"/>
            <w:hideMark/>
          </w:tcPr>
          <w:p w14:paraId="676C5B53" w14:textId="77777777" w:rsidR="00BA3275" w:rsidRDefault="00000000" w:rsidP="00EB1804">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2F8638E" w14:textId="77777777" w:rsidR="00BA3275" w:rsidRDefault="00000000">
            <w:pPr>
              <w:jc w:val="right"/>
              <w:rPr>
                <w:rFonts w:eastAsia="Times New Roman"/>
              </w:rPr>
            </w:pPr>
            <w:r>
              <w:rPr>
                <w:rFonts w:ascii="Arial" w:eastAsia="Times New Roman" w:hAnsi="Arial" w:cs="Arial"/>
                <w:sz w:val="16"/>
                <w:szCs w:val="16"/>
              </w:rPr>
              <w:t>386.059,58</w:t>
            </w:r>
          </w:p>
        </w:tc>
      </w:tr>
      <w:tr w:rsidR="00BA3275" w14:paraId="6CC5EED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CD044E3" w14:textId="77777777" w:rsidR="00BA3275"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CEF9527" w14:textId="77777777" w:rsidR="00BA3275" w:rsidRDefault="00000000" w:rsidP="00EB1804">
            <w:pPr>
              <w:jc w:val="right"/>
              <w:rPr>
                <w:rFonts w:eastAsia="Times New Roman"/>
              </w:rPr>
            </w:pPr>
            <w:r>
              <w:rPr>
                <w:rFonts w:ascii="Arial" w:eastAsia="Times New Roman" w:hAnsi="Arial" w:cs="Arial"/>
                <w:b/>
                <w:bCs/>
                <w:sz w:val="16"/>
                <w:szCs w:val="16"/>
              </w:rPr>
              <w:t>1.365.785,28</w:t>
            </w:r>
          </w:p>
        </w:tc>
        <w:tc>
          <w:tcPr>
            <w:tcW w:w="0" w:type="auto"/>
            <w:tcBorders>
              <w:top w:val="outset" w:sz="6" w:space="0" w:color="auto"/>
              <w:left w:val="outset" w:sz="6" w:space="0" w:color="auto"/>
              <w:bottom w:val="outset" w:sz="6" w:space="0" w:color="auto"/>
              <w:right w:val="outset" w:sz="6" w:space="0" w:color="auto"/>
            </w:tcBorders>
            <w:vAlign w:val="center"/>
            <w:hideMark/>
          </w:tcPr>
          <w:p w14:paraId="4E39C718" w14:textId="77777777" w:rsidR="00BA3275" w:rsidRDefault="00000000" w:rsidP="00EB1804">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7B9F7" w14:textId="77777777" w:rsidR="00BA3275" w:rsidRDefault="00000000">
            <w:pPr>
              <w:jc w:val="right"/>
              <w:rPr>
                <w:rFonts w:eastAsia="Times New Roman"/>
              </w:rPr>
            </w:pPr>
            <w:r>
              <w:rPr>
                <w:rFonts w:ascii="Arial" w:eastAsia="Times New Roman" w:hAnsi="Arial" w:cs="Arial"/>
                <w:b/>
                <w:bCs/>
                <w:sz w:val="16"/>
                <w:szCs w:val="16"/>
              </w:rPr>
              <w:t>1.365.785,28</w:t>
            </w:r>
          </w:p>
        </w:tc>
      </w:tr>
    </w:tbl>
    <w:p w14:paraId="7F576328" w14:textId="77777777" w:rsidR="00BA3275" w:rsidRDefault="00000000">
      <w:pPr>
        <w:pStyle w:val="NormalWeb"/>
      </w:pPr>
      <w:r>
        <w:rPr>
          <w:rFonts w:ascii="Arial" w:hAnsi="Arial" w:cs="Arial"/>
          <w:b/>
          <w:bCs/>
          <w:sz w:val="20"/>
          <w:szCs w:val="20"/>
        </w:rPr>
        <w:t xml:space="preserve">16. Provisões </w:t>
      </w:r>
    </w:p>
    <w:p w14:paraId="5683EB2B" w14:textId="77777777" w:rsidR="00BA3275" w:rsidRDefault="00000000">
      <w:pPr>
        <w:pStyle w:val="NormalWeb"/>
        <w:jc w:val="both"/>
      </w:pPr>
      <w:r>
        <w:rPr>
          <w:rFonts w:ascii="Arial" w:hAnsi="Arial" w:cs="Arial"/>
          <w:sz w:val="20"/>
          <w:szCs w:val="20"/>
        </w:rPr>
        <w:t>Em 30 de junho de 2025, os saldos de provisões estão assim compostos:</w:t>
      </w:r>
    </w:p>
    <w:tbl>
      <w:tblPr>
        <w:tblW w:w="5000" w:type="pct"/>
        <w:tblCellMar>
          <w:left w:w="0" w:type="dxa"/>
          <w:right w:w="0" w:type="dxa"/>
        </w:tblCellMar>
        <w:tblLook w:val="04A0" w:firstRow="1" w:lastRow="0" w:firstColumn="1" w:lastColumn="0" w:noHBand="0" w:noVBand="1"/>
      </w:tblPr>
      <w:tblGrid>
        <w:gridCol w:w="5913"/>
        <w:gridCol w:w="1157"/>
        <w:gridCol w:w="1395"/>
        <w:gridCol w:w="1157"/>
      </w:tblGrid>
      <w:tr w:rsidR="00BA3275" w14:paraId="04348F78"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E1B15B" w14:textId="77777777" w:rsidR="00BA3275" w:rsidRDefault="00000000">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65DB6A3"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12508F62"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F7092A2" w14:textId="77777777" w:rsidR="00BA3275" w:rsidRDefault="00BA327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CB638DA" w14:textId="77777777" w:rsidR="00BA3275"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5AFE189" w14:textId="77777777" w:rsidR="00BA3275"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76BEC2F" w14:textId="77777777" w:rsidR="00BA3275" w:rsidRDefault="00000000">
            <w:pPr>
              <w:jc w:val="center"/>
              <w:rPr>
                <w:rFonts w:eastAsia="Times New Roman"/>
              </w:rPr>
            </w:pPr>
            <w:r>
              <w:rPr>
                <w:rFonts w:ascii="Arial" w:eastAsia="Times New Roman" w:hAnsi="Arial" w:cs="Arial"/>
                <w:b/>
                <w:bCs/>
                <w:sz w:val="16"/>
                <w:szCs w:val="16"/>
              </w:rPr>
              <w:t>Total</w:t>
            </w:r>
          </w:p>
        </w:tc>
      </w:tr>
      <w:tr w:rsidR="00BA3275" w14:paraId="23BF9D8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79960F1" w14:textId="77695D81" w:rsidR="00BA3275" w:rsidRDefault="00000000">
            <w:pPr>
              <w:rPr>
                <w:rFonts w:eastAsia="Times New Roman"/>
              </w:rPr>
            </w:pPr>
            <w:r>
              <w:rPr>
                <w:rFonts w:ascii="Arial" w:eastAsia="Times New Roman" w:hAnsi="Arial" w:cs="Arial"/>
                <w:sz w:val="16"/>
                <w:szCs w:val="16"/>
              </w:rPr>
              <w:t>Provisões e outras Obrigações com Instrumentos Financeiros</w:t>
            </w:r>
            <w:r w:rsidR="00CF2DD0">
              <w:rPr>
                <w:rFonts w:ascii="Arial" w:eastAsia="Times New Roman" w:hAnsi="Arial" w:cs="Arial"/>
                <w:sz w:val="16"/>
                <w:szCs w:val="16"/>
              </w:rPr>
              <w:t xml:space="preserve"> (16.1)</w:t>
            </w:r>
          </w:p>
        </w:tc>
        <w:tc>
          <w:tcPr>
            <w:tcW w:w="0" w:type="auto"/>
            <w:tcBorders>
              <w:top w:val="outset" w:sz="6" w:space="0" w:color="auto"/>
              <w:left w:val="outset" w:sz="6" w:space="0" w:color="auto"/>
              <w:bottom w:val="outset" w:sz="6" w:space="0" w:color="auto"/>
              <w:right w:val="outset" w:sz="6" w:space="0" w:color="auto"/>
            </w:tcBorders>
            <w:vAlign w:val="center"/>
            <w:hideMark/>
          </w:tcPr>
          <w:p w14:paraId="1228DC30" w14:textId="77777777" w:rsidR="00BA3275" w:rsidRDefault="00000000" w:rsidP="00CF2DD0">
            <w:pPr>
              <w:jc w:val="right"/>
              <w:rPr>
                <w:rFonts w:eastAsia="Times New Roman"/>
              </w:rPr>
            </w:pPr>
            <w:r>
              <w:rPr>
                <w:rFonts w:ascii="Arial" w:eastAsia="Times New Roman" w:hAnsi="Arial" w:cs="Arial"/>
                <w:sz w:val="16"/>
                <w:szCs w:val="16"/>
              </w:rPr>
              <w:t>367.478,57</w:t>
            </w:r>
          </w:p>
        </w:tc>
        <w:tc>
          <w:tcPr>
            <w:tcW w:w="0" w:type="auto"/>
            <w:tcBorders>
              <w:top w:val="outset" w:sz="6" w:space="0" w:color="auto"/>
              <w:left w:val="outset" w:sz="6" w:space="0" w:color="auto"/>
              <w:bottom w:val="outset" w:sz="6" w:space="0" w:color="auto"/>
              <w:right w:val="outset" w:sz="6" w:space="0" w:color="auto"/>
            </w:tcBorders>
            <w:vAlign w:val="center"/>
            <w:hideMark/>
          </w:tcPr>
          <w:p w14:paraId="4493E0B9" w14:textId="77777777" w:rsidR="00BA3275" w:rsidRDefault="00000000" w:rsidP="00CF2DD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820F764" w14:textId="77777777" w:rsidR="00BA3275" w:rsidRDefault="00000000">
            <w:pPr>
              <w:jc w:val="right"/>
              <w:rPr>
                <w:rFonts w:eastAsia="Times New Roman"/>
              </w:rPr>
            </w:pPr>
            <w:r>
              <w:rPr>
                <w:rFonts w:ascii="Arial" w:eastAsia="Times New Roman" w:hAnsi="Arial" w:cs="Arial"/>
                <w:sz w:val="16"/>
                <w:szCs w:val="16"/>
              </w:rPr>
              <w:t>367.478,57</w:t>
            </w:r>
          </w:p>
        </w:tc>
      </w:tr>
      <w:tr w:rsidR="00BA3275" w14:paraId="64740D6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90B3AF5" w14:textId="4C605CD5" w:rsidR="00BA3275" w:rsidRDefault="00000000">
            <w:pPr>
              <w:rPr>
                <w:rFonts w:eastAsia="Times New Roman"/>
              </w:rPr>
            </w:pPr>
            <w:r>
              <w:rPr>
                <w:rFonts w:ascii="Arial" w:eastAsia="Times New Roman" w:hAnsi="Arial" w:cs="Arial"/>
                <w:sz w:val="16"/>
                <w:szCs w:val="16"/>
              </w:rPr>
              <w:t>Provisão para Pagamento a Efetuar</w:t>
            </w:r>
            <w:r w:rsidR="00CF2DD0">
              <w:rPr>
                <w:rFonts w:ascii="Arial" w:eastAsia="Times New Roman" w:hAnsi="Arial" w:cs="Arial"/>
                <w:sz w:val="16"/>
                <w:szCs w:val="16"/>
              </w:rPr>
              <w:t xml:space="preserve"> (16.2)</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18699" w14:textId="77777777" w:rsidR="00BA3275" w:rsidRDefault="00000000" w:rsidP="00CF2DD0">
            <w:pPr>
              <w:jc w:val="right"/>
              <w:rPr>
                <w:rFonts w:eastAsia="Times New Roman"/>
              </w:rPr>
            </w:pPr>
            <w:r>
              <w:rPr>
                <w:rFonts w:ascii="Arial" w:eastAsia="Times New Roman" w:hAnsi="Arial" w:cs="Arial"/>
                <w:sz w:val="16"/>
                <w:szCs w:val="16"/>
              </w:rPr>
              <w:t>2.061.971,07</w:t>
            </w:r>
          </w:p>
        </w:tc>
        <w:tc>
          <w:tcPr>
            <w:tcW w:w="0" w:type="auto"/>
            <w:tcBorders>
              <w:top w:val="outset" w:sz="6" w:space="0" w:color="auto"/>
              <w:left w:val="outset" w:sz="6" w:space="0" w:color="auto"/>
              <w:bottom w:val="outset" w:sz="6" w:space="0" w:color="auto"/>
              <w:right w:val="outset" w:sz="6" w:space="0" w:color="auto"/>
            </w:tcBorders>
            <w:vAlign w:val="center"/>
            <w:hideMark/>
          </w:tcPr>
          <w:p w14:paraId="7CF55AE5" w14:textId="77777777" w:rsidR="00BA3275" w:rsidRDefault="00000000" w:rsidP="00CF2DD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ACEFAF" w14:textId="77777777" w:rsidR="00BA3275" w:rsidRDefault="00000000">
            <w:pPr>
              <w:jc w:val="right"/>
              <w:rPr>
                <w:rFonts w:eastAsia="Times New Roman"/>
              </w:rPr>
            </w:pPr>
            <w:r>
              <w:rPr>
                <w:rFonts w:ascii="Arial" w:eastAsia="Times New Roman" w:hAnsi="Arial" w:cs="Arial"/>
                <w:sz w:val="16"/>
                <w:szCs w:val="16"/>
              </w:rPr>
              <w:t>2.061.971,07</w:t>
            </w:r>
          </w:p>
        </w:tc>
      </w:tr>
      <w:tr w:rsidR="00BA3275" w14:paraId="1642DBD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331FF01" w14:textId="3413D628" w:rsidR="00BA3275" w:rsidRDefault="00000000">
            <w:pPr>
              <w:rPr>
                <w:rFonts w:eastAsia="Times New Roman"/>
              </w:rPr>
            </w:pPr>
            <w:r>
              <w:rPr>
                <w:rFonts w:ascii="Arial" w:eastAsia="Times New Roman" w:hAnsi="Arial" w:cs="Arial"/>
                <w:sz w:val="16"/>
                <w:szCs w:val="16"/>
              </w:rPr>
              <w:t>Provisão para Contingências</w:t>
            </w:r>
            <w:r w:rsidR="00CF2DD0">
              <w:rPr>
                <w:rFonts w:ascii="Arial" w:eastAsia="Times New Roman" w:hAnsi="Arial" w:cs="Arial"/>
                <w:sz w:val="16"/>
                <w:szCs w:val="16"/>
              </w:rPr>
              <w:t xml:space="preserve"> (16.</w:t>
            </w:r>
            <w:r w:rsidR="00C01518">
              <w:rPr>
                <w:rFonts w:ascii="Arial" w:eastAsia="Times New Roman" w:hAnsi="Arial" w:cs="Arial"/>
                <w:sz w:val="16"/>
                <w:szCs w:val="16"/>
              </w:rPr>
              <w:t>4</w:t>
            </w:r>
            <w:r w:rsidR="00CF2DD0">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010AF1E" w14:textId="77777777" w:rsidR="00BA3275" w:rsidRDefault="00000000" w:rsidP="00CF2DD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1ADF00" w14:textId="77777777" w:rsidR="00BA3275" w:rsidRDefault="00000000" w:rsidP="00CF2DD0">
            <w:pPr>
              <w:jc w:val="right"/>
              <w:rPr>
                <w:rFonts w:eastAsia="Times New Roman"/>
              </w:rPr>
            </w:pPr>
            <w:r>
              <w:rPr>
                <w:rFonts w:ascii="Arial" w:eastAsia="Times New Roman" w:hAnsi="Arial" w:cs="Arial"/>
                <w:sz w:val="16"/>
                <w:szCs w:val="16"/>
              </w:rPr>
              <w:t>655.048,79</w:t>
            </w:r>
          </w:p>
        </w:tc>
        <w:tc>
          <w:tcPr>
            <w:tcW w:w="0" w:type="auto"/>
            <w:tcBorders>
              <w:top w:val="outset" w:sz="6" w:space="0" w:color="auto"/>
              <w:left w:val="outset" w:sz="6" w:space="0" w:color="auto"/>
              <w:bottom w:val="outset" w:sz="6" w:space="0" w:color="auto"/>
              <w:right w:val="outset" w:sz="6" w:space="0" w:color="auto"/>
            </w:tcBorders>
            <w:vAlign w:val="center"/>
            <w:hideMark/>
          </w:tcPr>
          <w:p w14:paraId="30E9D952" w14:textId="77777777" w:rsidR="00BA3275" w:rsidRDefault="00000000">
            <w:pPr>
              <w:jc w:val="right"/>
              <w:rPr>
                <w:rFonts w:eastAsia="Times New Roman"/>
              </w:rPr>
            </w:pPr>
            <w:r>
              <w:rPr>
                <w:rFonts w:ascii="Arial" w:eastAsia="Times New Roman" w:hAnsi="Arial" w:cs="Arial"/>
                <w:sz w:val="16"/>
                <w:szCs w:val="16"/>
              </w:rPr>
              <w:t>655.048,79</w:t>
            </w:r>
          </w:p>
        </w:tc>
      </w:tr>
      <w:tr w:rsidR="00BA3275" w14:paraId="6CFC01F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DF93BD3" w14:textId="77777777" w:rsidR="00BA3275"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D78CA44" w14:textId="77777777" w:rsidR="00BA3275" w:rsidRDefault="00000000">
            <w:pPr>
              <w:jc w:val="right"/>
              <w:rPr>
                <w:rFonts w:eastAsia="Times New Roman"/>
              </w:rPr>
            </w:pPr>
            <w:r>
              <w:rPr>
                <w:rFonts w:ascii="Arial" w:eastAsia="Times New Roman" w:hAnsi="Arial" w:cs="Arial"/>
                <w:b/>
                <w:bCs/>
                <w:sz w:val="16"/>
                <w:szCs w:val="16"/>
              </w:rPr>
              <w:t>2.429.449,64</w:t>
            </w:r>
          </w:p>
        </w:tc>
        <w:tc>
          <w:tcPr>
            <w:tcW w:w="0" w:type="auto"/>
            <w:tcBorders>
              <w:top w:val="outset" w:sz="6" w:space="0" w:color="auto"/>
              <w:left w:val="outset" w:sz="6" w:space="0" w:color="auto"/>
              <w:bottom w:val="outset" w:sz="6" w:space="0" w:color="auto"/>
              <w:right w:val="outset" w:sz="6" w:space="0" w:color="auto"/>
            </w:tcBorders>
            <w:vAlign w:val="center"/>
            <w:hideMark/>
          </w:tcPr>
          <w:p w14:paraId="1DF490E3" w14:textId="77777777" w:rsidR="00BA3275" w:rsidRDefault="00000000">
            <w:pPr>
              <w:jc w:val="right"/>
              <w:rPr>
                <w:rFonts w:eastAsia="Times New Roman"/>
              </w:rPr>
            </w:pPr>
            <w:r>
              <w:rPr>
                <w:rFonts w:ascii="Arial" w:eastAsia="Times New Roman" w:hAnsi="Arial" w:cs="Arial"/>
                <w:b/>
                <w:bCs/>
                <w:sz w:val="16"/>
                <w:szCs w:val="16"/>
              </w:rPr>
              <w:t>655.048,79</w:t>
            </w:r>
          </w:p>
        </w:tc>
        <w:tc>
          <w:tcPr>
            <w:tcW w:w="0" w:type="auto"/>
            <w:tcBorders>
              <w:top w:val="outset" w:sz="6" w:space="0" w:color="auto"/>
              <w:left w:val="outset" w:sz="6" w:space="0" w:color="auto"/>
              <w:bottom w:val="outset" w:sz="6" w:space="0" w:color="auto"/>
              <w:right w:val="outset" w:sz="6" w:space="0" w:color="auto"/>
            </w:tcBorders>
            <w:vAlign w:val="center"/>
            <w:hideMark/>
          </w:tcPr>
          <w:p w14:paraId="4A670372" w14:textId="77777777" w:rsidR="00BA3275" w:rsidRDefault="00000000">
            <w:pPr>
              <w:jc w:val="right"/>
              <w:rPr>
                <w:rFonts w:eastAsia="Times New Roman"/>
              </w:rPr>
            </w:pPr>
            <w:r>
              <w:rPr>
                <w:rFonts w:ascii="Arial" w:eastAsia="Times New Roman" w:hAnsi="Arial" w:cs="Arial"/>
                <w:b/>
                <w:bCs/>
                <w:sz w:val="16"/>
                <w:szCs w:val="16"/>
              </w:rPr>
              <w:t>3.084.498,43</w:t>
            </w:r>
          </w:p>
        </w:tc>
      </w:tr>
    </w:tbl>
    <w:p w14:paraId="429357C0" w14:textId="7C7B471C" w:rsidR="00CF2DD0" w:rsidRDefault="00CF2DD0" w:rsidP="00CF2DD0">
      <w:pPr>
        <w:pStyle w:val="NormalWeb"/>
      </w:pPr>
      <w:r>
        <w:rPr>
          <w:rFonts w:ascii="Arial" w:hAnsi="Arial" w:cs="Arial"/>
          <w:b/>
          <w:bCs/>
          <w:sz w:val="20"/>
          <w:szCs w:val="20"/>
        </w:rPr>
        <w:t xml:space="preserve">16.1 Provisões e Outras Obrigações com Instrumentos Financeiros </w:t>
      </w:r>
    </w:p>
    <w:p w14:paraId="299A40F6" w14:textId="77777777" w:rsidR="00CF2DD0" w:rsidRDefault="00CF2DD0" w:rsidP="00CF2DD0">
      <w:pPr>
        <w:pStyle w:val="NormalWeb"/>
        <w:jc w:val="both"/>
      </w:pPr>
      <w:r>
        <w:rPr>
          <w:rFonts w:ascii="Arial" w:hAnsi="Arial" w:cs="Arial"/>
          <w:sz w:val="20"/>
          <w:szCs w:val="20"/>
        </w:rPr>
        <w:t>Em provisões e outras obrigações com instrumentos financeiros estão registrados:</w:t>
      </w:r>
    </w:p>
    <w:tbl>
      <w:tblPr>
        <w:tblW w:w="5000" w:type="pct"/>
        <w:tblCellMar>
          <w:left w:w="0" w:type="dxa"/>
          <w:right w:w="0" w:type="dxa"/>
        </w:tblCellMar>
        <w:tblLook w:val="04A0" w:firstRow="1" w:lastRow="0" w:firstColumn="1" w:lastColumn="0" w:noHBand="0" w:noVBand="1"/>
      </w:tblPr>
      <w:tblGrid>
        <w:gridCol w:w="5236"/>
        <w:gridCol w:w="1289"/>
        <w:gridCol w:w="1808"/>
        <w:gridCol w:w="1289"/>
      </w:tblGrid>
      <w:tr w:rsidR="00CF2DD0" w14:paraId="1AC1F9C9" w14:textId="77777777" w:rsidTr="00CF2DD0">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BAD989" w14:textId="77777777" w:rsidR="00CF2DD0" w:rsidRDefault="00CF2DD0" w:rsidP="00C22ADD">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4383124" w14:textId="77777777" w:rsidR="00CF2DD0" w:rsidRDefault="00CF2DD0" w:rsidP="00C22ADD">
            <w:pPr>
              <w:jc w:val="center"/>
              <w:rPr>
                <w:rFonts w:eastAsia="Times New Roman"/>
              </w:rPr>
            </w:pPr>
            <w:r>
              <w:rPr>
                <w:rFonts w:ascii="Arial" w:eastAsia="Times New Roman" w:hAnsi="Arial" w:cs="Arial"/>
                <w:b/>
                <w:bCs/>
                <w:sz w:val="16"/>
                <w:szCs w:val="16"/>
              </w:rPr>
              <w:t>30/06/2025</w:t>
            </w:r>
          </w:p>
        </w:tc>
      </w:tr>
      <w:tr w:rsidR="00CF2DD0" w14:paraId="77D05234" w14:textId="77777777" w:rsidTr="00CF2DD0">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E986758" w14:textId="77777777" w:rsidR="00CF2DD0" w:rsidRDefault="00CF2DD0" w:rsidP="00C22AD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C14DD8" w14:textId="77777777" w:rsidR="00CF2DD0" w:rsidRDefault="00CF2DD0" w:rsidP="00C22ADD">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D43E1F" w14:textId="77777777" w:rsidR="00CF2DD0" w:rsidRDefault="00CF2DD0" w:rsidP="00C22ADD">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25FFF42" w14:textId="77777777" w:rsidR="00CF2DD0" w:rsidRDefault="00CF2DD0" w:rsidP="00C22ADD">
            <w:pPr>
              <w:jc w:val="center"/>
              <w:rPr>
                <w:rFonts w:eastAsia="Times New Roman"/>
              </w:rPr>
            </w:pPr>
            <w:r>
              <w:rPr>
                <w:rFonts w:ascii="Arial" w:eastAsia="Times New Roman" w:hAnsi="Arial" w:cs="Arial"/>
                <w:b/>
                <w:bCs/>
                <w:sz w:val="16"/>
                <w:szCs w:val="16"/>
              </w:rPr>
              <w:t>Total</w:t>
            </w:r>
          </w:p>
        </w:tc>
      </w:tr>
      <w:tr w:rsidR="00CF2DD0" w14:paraId="0CD46BF1" w14:textId="77777777" w:rsidTr="00CF2DD0">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DEE7CD2" w14:textId="77777777" w:rsidR="00CF2DD0" w:rsidRDefault="00CF2DD0" w:rsidP="00C22ADD">
            <w:pPr>
              <w:rPr>
                <w:rFonts w:eastAsia="Times New Roman"/>
              </w:rPr>
            </w:pPr>
            <w:r>
              <w:rPr>
                <w:rFonts w:ascii="Arial" w:eastAsia="Times New Roman" w:hAnsi="Arial" w:cs="Arial"/>
                <w:sz w:val="16"/>
                <w:szCs w:val="16"/>
              </w:rPr>
              <w:t>Compromissos de Crédito e Créditos a Liberar</w:t>
            </w:r>
          </w:p>
        </w:tc>
        <w:tc>
          <w:tcPr>
            <w:tcW w:w="0" w:type="auto"/>
            <w:tcBorders>
              <w:top w:val="outset" w:sz="6" w:space="0" w:color="auto"/>
              <w:left w:val="outset" w:sz="6" w:space="0" w:color="auto"/>
              <w:bottom w:val="outset" w:sz="6" w:space="0" w:color="auto"/>
              <w:right w:val="outset" w:sz="6" w:space="0" w:color="auto"/>
            </w:tcBorders>
            <w:vAlign w:val="center"/>
            <w:hideMark/>
          </w:tcPr>
          <w:p w14:paraId="1137355F" w14:textId="77777777" w:rsidR="00CF2DD0" w:rsidRDefault="00CF2DD0" w:rsidP="00C22ADD">
            <w:pPr>
              <w:jc w:val="right"/>
              <w:rPr>
                <w:rFonts w:eastAsia="Times New Roman"/>
              </w:rPr>
            </w:pPr>
            <w:r>
              <w:rPr>
                <w:rFonts w:ascii="Arial" w:eastAsia="Times New Roman" w:hAnsi="Arial" w:cs="Arial"/>
                <w:sz w:val="16"/>
                <w:szCs w:val="16"/>
              </w:rPr>
              <w:t>34.286,87</w:t>
            </w:r>
          </w:p>
        </w:tc>
        <w:tc>
          <w:tcPr>
            <w:tcW w:w="0" w:type="auto"/>
            <w:tcBorders>
              <w:top w:val="outset" w:sz="6" w:space="0" w:color="auto"/>
              <w:left w:val="outset" w:sz="6" w:space="0" w:color="auto"/>
              <w:bottom w:val="outset" w:sz="6" w:space="0" w:color="auto"/>
              <w:right w:val="outset" w:sz="6" w:space="0" w:color="auto"/>
            </w:tcBorders>
            <w:vAlign w:val="center"/>
            <w:hideMark/>
          </w:tcPr>
          <w:p w14:paraId="0E073004" w14:textId="77777777" w:rsidR="00CF2DD0" w:rsidRDefault="00CF2DD0" w:rsidP="00CF2DD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C9CD43" w14:textId="77777777" w:rsidR="00CF2DD0" w:rsidRDefault="00CF2DD0" w:rsidP="00C22ADD">
            <w:pPr>
              <w:jc w:val="right"/>
              <w:rPr>
                <w:rFonts w:eastAsia="Times New Roman"/>
              </w:rPr>
            </w:pPr>
            <w:r>
              <w:rPr>
                <w:rFonts w:ascii="Arial" w:eastAsia="Times New Roman" w:hAnsi="Arial" w:cs="Arial"/>
                <w:sz w:val="16"/>
                <w:szCs w:val="16"/>
              </w:rPr>
              <w:t>34.286,87</w:t>
            </w:r>
          </w:p>
        </w:tc>
      </w:tr>
      <w:tr w:rsidR="00CF2DD0" w14:paraId="6C5C5D1A" w14:textId="77777777" w:rsidTr="00CF2DD0">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C3DC5E8" w14:textId="77777777" w:rsidR="00CF2DD0" w:rsidRDefault="00CF2DD0" w:rsidP="00C22ADD">
            <w:pPr>
              <w:rPr>
                <w:rFonts w:eastAsia="Times New Roman"/>
              </w:rPr>
            </w:pPr>
            <w:r>
              <w:rPr>
                <w:rFonts w:ascii="Arial" w:eastAsia="Times New Roman" w:hAnsi="Arial" w:cs="Arial"/>
                <w:sz w:val="16"/>
                <w:szCs w:val="16"/>
              </w:rPr>
              <w:t>Garantias Financeiras Prestadas (a)</w:t>
            </w:r>
          </w:p>
        </w:tc>
        <w:tc>
          <w:tcPr>
            <w:tcW w:w="0" w:type="auto"/>
            <w:tcBorders>
              <w:top w:val="outset" w:sz="6" w:space="0" w:color="auto"/>
              <w:left w:val="outset" w:sz="6" w:space="0" w:color="auto"/>
              <w:bottom w:val="outset" w:sz="6" w:space="0" w:color="auto"/>
              <w:right w:val="outset" w:sz="6" w:space="0" w:color="auto"/>
            </w:tcBorders>
            <w:vAlign w:val="center"/>
            <w:hideMark/>
          </w:tcPr>
          <w:p w14:paraId="78DE2873" w14:textId="77777777" w:rsidR="00CF2DD0" w:rsidRDefault="00CF2DD0" w:rsidP="00C22ADD">
            <w:pPr>
              <w:jc w:val="right"/>
              <w:rPr>
                <w:rFonts w:eastAsia="Times New Roman"/>
              </w:rPr>
            </w:pPr>
            <w:r>
              <w:rPr>
                <w:rFonts w:ascii="Arial" w:eastAsia="Times New Roman" w:hAnsi="Arial" w:cs="Arial"/>
                <w:sz w:val="16"/>
                <w:szCs w:val="16"/>
              </w:rPr>
              <w:t>333.191,70</w:t>
            </w:r>
          </w:p>
        </w:tc>
        <w:tc>
          <w:tcPr>
            <w:tcW w:w="0" w:type="auto"/>
            <w:tcBorders>
              <w:top w:val="outset" w:sz="6" w:space="0" w:color="auto"/>
              <w:left w:val="outset" w:sz="6" w:space="0" w:color="auto"/>
              <w:bottom w:val="outset" w:sz="6" w:space="0" w:color="auto"/>
              <w:right w:val="outset" w:sz="6" w:space="0" w:color="auto"/>
            </w:tcBorders>
            <w:vAlign w:val="center"/>
            <w:hideMark/>
          </w:tcPr>
          <w:p w14:paraId="7DC2B571" w14:textId="77777777" w:rsidR="00CF2DD0" w:rsidRDefault="00CF2DD0" w:rsidP="00CF2DD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B79F05" w14:textId="77777777" w:rsidR="00CF2DD0" w:rsidRDefault="00CF2DD0" w:rsidP="00C22ADD">
            <w:pPr>
              <w:jc w:val="right"/>
              <w:rPr>
                <w:rFonts w:eastAsia="Times New Roman"/>
              </w:rPr>
            </w:pPr>
            <w:r>
              <w:rPr>
                <w:rFonts w:ascii="Arial" w:eastAsia="Times New Roman" w:hAnsi="Arial" w:cs="Arial"/>
                <w:sz w:val="16"/>
                <w:szCs w:val="16"/>
              </w:rPr>
              <w:t>333.191,70</w:t>
            </w:r>
          </w:p>
        </w:tc>
      </w:tr>
      <w:tr w:rsidR="00CF2DD0" w14:paraId="577EAE0C" w14:textId="77777777" w:rsidTr="00CF2DD0">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E6CA9EE" w14:textId="77777777" w:rsidR="00CF2DD0" w:rsidRDefault="00CF2DD0" w:rsidP="00C22ADD">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9BFD020" w14:textId="77777777" w:rsidR="00CF2DD0" w:rsidRDefault="00CF2DD0" w:rsidP="00C22ADD">
            <w:pPr>
              <w:jc w:val="right"/>
              <w:rPr>
                <w:rFonts w:eastAsia="Times New Roman"/>
              </w:rPr>
            </w:pPr>
            <w:r>
              <w:rPr>
                <w:rFonts w:ascii="Arial" w:eastAsia="Times New Roman" w:hAnsi="Arial" w:cs="Arial"/>
                <w:b/>
                <w:bCs/>
                <w:sz w:val="16"/>
                <w:szCs w:val="16"/>
              </w:rPr>
              <w:t>367.478,57</w:t>
            </w:r>
          </w:p>
        </w:tc>
        <w:tc>
          <w:tcPr>
            <w:tcW w:w="0" w:type="auto"/>
            <w:tcBorders>
              <w:top w:val="outset" w:sz="6" w:space="0" w:color="auto"/>
              <w:left w:val="outset" w:sz="6" w:space="0" w:color="auto"/>
              <w:bottom w:val="outset" w:sz="6" w:space="0" w:color="auto"/>
              <w:right w:val="outset" w:sz="6" w:space="0" w:color="auto"/>
            </w:tcBorders>
            <w:vAlign w:val="center"/>
            <w:hideMark/>
          </w:tcPr>
          <w:p w14:paraId="6EA02C18" w14:textId="77777777" w:rsidR="00CF2DD0" w:rsidRDefault="00CF2DD0" w:rsidP="00CF2DD0">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C89812" w14:textId="77777777" w:rsidR="00CF2DD0" w:rsidRDefault="00CF2DD0" w:rsidP="00C22ADD">
            <w:pPr>
              <w:jc w:val="right"/>
              <w:rPr>
                <w:rFonts w:eastAsia="Times New Roman"/>
              </w:rPr>
            </w:pPr>
            <w:r>
              <w:rPr>
                <w:rFonts w:ascii="Arial" w:eastAsia="Times New Roman" w:hAnsi="Arial" w:cs="Arial"/>
                <w:b/>
                <w:bCs/>
                <w:sz w:val="16"/>
                <w:szCs w:val="16"/>
              </w:rPr>
              <w:t>367.478,57</w:t>
            </w:r>
          </w:p>
        </w:tc>
      </w:tr>
    </w:tbl>
    <w:p w14:paraId="4AADA680" w14:textId="6891C7DE" w:rsidR="00557E7F" w:rsidRDefault="00C01518" w:rsidP="00C01518">
      <w:pPr>
        <w:pStyle w:val="NormalWeb"/>
        <w:jc w:val="both"/>
      </w:pPr>
      <w:r>
        <w:rPr>
          <w:rFonts w:ascii="Arial" w:hAnsi="Arial" w:cs="Arial"/>
          <w:sz w:val="20"/>
          <w:szCs w:val="20"/>
        </w:rPr>
        <w:t>a) Refere</w:t>
      </w:r>
      <w:r w:rsidR="00CF2DD0">
        <w:rPr>
          <w:rFonts w:ascii="Arial" w:hAnsi="Arial" w:cs="Arial"/>
          <w:sz w:val="20"/>
          <w:szCs w:val="20"/>
        </w:rPr>
        <w:t>-se à provisão para garantias financeiras prestadas, apurada sobre o total das coobrigações concedidas pela Cooperativa, conforme determina a Resolução CMN nº 4.512/2016. A provisão para garantias financeiras prestadas é apurada com base na avaliação de risco dos Associados beneficiários, de acordo com a Resolução CMN nº 4.966/2021. A Cooperativa é responsável por coobrigações e riscos em garantias prestadas, referentes a aval prestado em diversas operações de crédito de seus associados com instituições financeiras oficiais:</w:t>
      </w:r>
    </w:p>
    <w:tbl>
      <w:tblPr>
        <w:tblW w:w="5000" w:type="pct"/>
        <w:tblCellMar>
          <w:left w:w="0" w:type="dxa"/>
          <w:right w:w="0" w:type="dxa"/>
        </w:tblCellMar>
        <w:tblLook w:val="04A0" w:firstRow="1" w:lastRow="0" w:firstColumn="1" w:lastColumn="0" w:noHBand="0" w:noVBand="1"/>
      </w:tblPr>
      <w:tblGrid>
        <w:gridCol w:w="6060"/>
        <w:gridCol w:w="3562"/>
      </w:tblGrid>
      <w:tr w:rsidR="00CF2DD0" w14:paraId="49D31CB0" w14:textId="77777777" w:rsidTr="00CF2DD0">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6307D12" w14:textId="77777777" w:rsidR="00CF2DD0" w:rsidRDefault="00CF2DD0" w:rsidP="00C22ADD">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AF4EE" w14:textId="77777777" w:rsidR="00CF2DD0" w:rsidRDefault="00CF2DD0" w:rsidP="00C22ADD">
            <w:pPr>
              <w:jc w:val="center"/>
              <w:rPr>
                <w:rFonts w:eastAsia="Times New Roman"/>
              </w:rPr>
            </w:pPr>
            <w:r>
              <w:rPr>
                <w:rFonts w:ascii="Arial" w:eastAsia="Times New Roman" w:hAnsi="Arial" w:cs="Arial"/>
                <w:b/>
                <w:bCs/>
                <w:sz w:val="16"/>
                <w:szCs w:val="16"/>
              </w:rPr>
              <w:t>30/06/2025</w:t>
            </w:r>
          </w:p>
        </w:tc>
      </w:tr>
      <w:tr w:rsidR="00CF2DD0" w14:paraId="130B9DAE" w14:textId="77777777" w:rsidTr="00CF2DD0">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30057B1" w14:textId="77777777" w:rsidR="00CF2DD0" w:rsidRDefault="00CF2DD0" w:rsidP="00C22ADD">
            <w:pPr>
              <w:rPr>
                <w:rFonts w:eastAsia="Times New Roman"/>
              </w:rPr>
            </w:pPr>
            <w:r>
              <w:rPr>
                <w:rFonts w:ascii="Arial" w:eastAsia="Times New Roman" w:hAnsi="Arial" w:cs="Arial"/>
                <w:sz w:val="16"/>
                <w:szCs w:val="16"/>
              </w:rPr>
              <w:t>Coobrigações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30ED46" w14:textId="77777777" w:rsidR="00CF2DD0" w:rsidRDefault="00CF2DD0" w:rsidP="00C22ADD">
            <w:pPr>
              <w:jc w:val="right"/>
              <w:rPr>
                <w:rFonts w:eastAsia="Times New Roman"/>
              </w:rPr>
            </w:pPr>
            <w:r>
              <w:rPr>
                <w:rFonts w:ascii="Arial" w:eastAsia="Times New Roman" w:hAnsi="Arial" w:cs="Arial"/>
                <w:sz w:val="16"/>
                <w:szCs w:val="16"/>
              </w:rPr>
              <w:t>47.750.178,16</w:t>
            </w:r>
          </w:p>
        </w:tc>
      </w:tr>
      <w:tr w:rsidR="00CF2DD0" w14:paraId="26E799B7" w14:textId="77777777" w:rsidTr="00CF2DD0">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FACCA71" w14:textId="77777777" w:rsidR="00CF2DD0" w:rsidRDefault="00CF2DD0" w:rsidP="00C22ADD">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DF2DA9" w14:textId="77777777" w:rsidR="00CF2DD0" w:rsidRDefault="00CF2DD0" w:rsidP="00C22ADD">
            <w:pPr>
              <w:jc w:val="right"/>
              <w:rPr>
                <w:rFonts w:eastAsia="Times New Roman"/>
              </w:rPr>
            </w:pPr>
            <w:r>
              <w:rPr>
                <w:rFonts w:ascii="Arial" w:eastAsia="Times New Roman" w:hAnsi="Arial" w:cs="Arial"/>
                <w:b/>
                <w:bCs/>
                <w:sz w:val="16"/>
                <w:szCs w:val="16"/>
              </w:rPr>
              <w:t>47.750.178,16</w:t>
            </w:r>
          </w:p>
        </w:tc>
      </w:tr>
    </w:tbl>
    <w:p w14:paraId="5A24DF37" w14:textId="34475CDE" w:rsidR="00BA3275" w:rsidRDefault="00000000">
      <w:pPr>
        <w:pStyle w:val="NormalWeb"/>
      </w:pPr>
      <w:r>
        <w:rPr>
          <w:rFonts w:ascii="Arial" w:hAnsi="Arial" w:cs="Arial"/>
          <w:b/>
          <w:bCs/>
          <w:sz w:val="20"/>
          <w:szCs w:val="20"/>
        </w:rPr>
        <w:t>16.</w:t>
      </w:r>
      <w:r w:rsidR="00CF2DD0">
        <w:rPr>
          <w:rFonts w:ascii="Arial" w:hAnsi="Arial" w:cs="Arial"/>
          <w:b/>
          <w:bCs/>
          <w:sz w:val="20"/>
          <w:szCs w:val="20"/>
        </w:rPr>
        <w:t>2</w:t>
      </w:r>
      <w:r>
        <w:rPr>
          <w:rFonts w:ascii="Arial" w:hAnsi="Arial" w:cs="Arial"/>
          <w:b/>
          <w:bCs/>
          <w:sz w:val="20"/>
          <w:szCs w:val="20"/>
        </w:rPr>
        <w:t xml:space="preserve"> Provisão para Pagamentos a Efetuar </w:t>
      </w:r>
    </w:p>
    <w:p w14:paraId="5394272F" w14:textId="77777777" w:rsidR="00BA3275" w:rsidRDefault="00000000">
      <w:pPr>
        <w:pStyle w:val="NormalWeb"/>
        <w:jc w:val="both"/>
      </w:pPr>
      <w:r>
        <w:rPr>
          <w:rFonts w:ascii="Arial" w:hAnsi="Arial" w:cs="Arial"/>
          <w:sz w:val="20"/>
          <w:szCs w:val="20"/>
        </w:rPr>
        <w:t>Em Provisão para Pagamentos a Efetuar estão registrados:</w:t>
      </w:r>
    </w:p>
    <w:tbl>
      <w:tblPr>
        <w:tblW w:w="5000" w:type="pct"/>
        <w:tblCellMar>
          <w:left w:w="0" w:type="dxa"/>
          <w:right w:w="0" w:type="dxa"/>
        </w:tblCellMar>
        <w:tblLook w:val="04A0" w:firstRow="1" w:lastRow="0" w:firstColumn="1" w:lastColumn="0" w:noHBand="0" w:noVBand="1"/>
      </w:tblPr>
      <w:tblGrid>
        <w:gridCol w:w="4904"/>
        <w:gridCol w:w="1472"/>
        <w:gridCol w:w="1774"/>
        <w:gridCol w:w="1472"/>
      </w:tblGrid>
      <w:tr w:rsidR="00BA3275" w14:paraId="404B834F"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5B0069F" w14:textId="77777777" w:rsidR="00BA3275" w:rsidRDefault="00000000">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CFAE5B6"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01204C53"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F941D8" w14:textId="77777777" w:rsidR="00BA3275" w:rsidRDefault="00BA327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5FD4A3" w14:textId="77777777" w:rsidR="00BA3275"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D2A89" w14:textId="77777777" w:rsidR="00BA3275"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605A1E2" w14:textId="77777777" w:rsidR="00BA3275" w:rsidRDefault="00000000">
            <w:pPr>
              <w:jc w:val="center"/>
              <w:rPr>
                <w:rFonts w:eastAsia="Times New Roman"/>
              </w:rPr>
            </w:pPr>
            <w:r>
              <w:rPr>
                <w:rFonts w:ascii="Arial" w:eastAsia="Times New Roman" w:hAnsi="Arial" w:cs="Arial"/>
                <w:b/>
                <w:bCs/>
                <w:sz w:val="16"/>
                <w:szCs w:val="16"/>
              </w:rPr>
              <w:t>Total</w:t>
            </w:r>
          </w:p>
        </w:tc>
      </w:tr>
      <w:tr w:rsidR="00BA3275" w14:paraId="6092C83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F1CAADF" w14:textId="77777777" w:rsidR="00BA3275" w:rsidRDefault="00000000">
            <w:pPr>
              <w:rPr>
                <w:rFonts w:eastAsia="Times New Roman"/>
              </w:rPr>
            </w:pPr>
            <w:r>
              <w:rPr>
                <w:rFonts w:ascii="Arial" w:eastAsia="Times New Roman" w:hAnsi="Arial" w:cs="Arial"/>
                <w:sz w:val="16"/>
                <w:szCs w:val="16"/>
              </w:rPr>
              <w:t>Despesas de Pessoal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9D418FD" w14:textId="77777777" w:rsidR="00BA3275" w:rsidRDefault="00000000" w:rsidP="00CF2DD0">
            <w:pPr>
              <w:jc w:val="right"/>
              <w:rPr>
                <w:rFonts w:eastAsia="Times New Roman"/>
              </w:rPr>
            </w:pPr>
            <w:r>
              <w:rPr>
                <w:rFonts w:ascii="Arial" w:eastAsia="Times New Roman" w:hAnsi="Arial" w:cs="Arial"/>
                <w:sz w:val="16"/>
                <w:szCs w:val="16"/>
              </w:rPr>
              <w:t>1.325.980,39</w:t>
            </w:r>
          </w:p>
        </w:tc>
        <w:tc>
          <w:tcPr>
            <w:tcW w:w="0" w:type="auto"/>
            <w:tcBorders>
              <w:top w:val="outset" w:sz="6" w:space="0" w:color="auto"/>
              <w:left w:val="outset" w:sz="6" w:space="0" w:color="auto"/>
              <w:bottom w:val="outset" w:sz="6" w:space="0" w:color="auto"/>
              <w:right w:val="outset" w:sz="6" w:space="0" w:color="auto"/>
            </w:tcBorders>
            <w:vAlign w:val="center"/>
            <w:hideMark/>
          </w:tcPr>
          <w:p w14:paraId="78CF5708" w14:textId="77777777" w:rsidR="00BA3275" w:rsidRDefault="00000000" w:rsidP="00CF2DD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4AC5CB" w14:textId="77777777" w:rsidR="00BA3275" w:rsidRDefault="00000000">
            <w:pPr>
              <w:jc w:val="right"/>
              <w:rPr>
                <w:rFonts w:eastAsia="Times New Roman"/>
              </w:rPr>
            </w:pPr>
            <w:r>
              <w:rPr>
                <w:rFonts w:ascii="Arial" w:eastAsia="Times New Roman" w:hAnsi="Arial" w:cs="Arial"/>
                <w:sz w:val="16"/>
                <w:szCs w:val="16"/>
              </w:rPr>
              <w:t>1.325.980,39</w:t>
            </w:r>
          </w:p>
        </w:tc>
      </w:tr>
      <w:tr w:rsidR="00BA3275" w14:paraId="2C6B01B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A1722FE" w14:textId="77777777" w:rsidR="00BA3275" w:rsidRDefault="00000000">
            <w:pPr>
              <w:rPr>
                <w:rFonts w:eastAsia="Times New Roman"/>
              </w:rPr>
            </w:pPr>
            <w:r>
              <w:rPr>
                <w:rFonts w:ascii="Arial" w:eastAsia="Times New Roman" w:hAnsi="Arial" w:cs="Arial"/>
                <w:sz w:val="16"/>
                <w:szCs w:val="16"/>
              </w:rPr>
              <w:t>Custos de Transações Interfinanceiras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A65BA3" w14:textId="77777777" w:rsidR="00BA3275" w:rsidRDefault="00000000" w:rsidP="00CF2DD0">
            <w:pPr>
              <w:jc w:val="right"/>
              <w:rPr>
                <w:rFonts w:eastAsia="Times New Roman"/>
              </w:rPr>
            </w:pPr>
            <w:r>
              <w:rPr>
                <w:rFonts w:ascii="Arial" w:eastAsia="Times New Roman" w:hAnsi="Arial" w:cs="Arial"/>
                <w:sz w:val="16"/>
                <w:szCs w:val="16"/>
              </w:rPr>
              <w:t>6.999,10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D1675AC" w14:textId="77777777" w:rsidR="00BA3275" w:rsidRDefault="00000000" w:rsidP="00CF2DD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D322F" w14:textId="77777777" w:rsidR="00BA3275" w:rsidRDefault="00000000">
            <w:pPr>
              <w:jc w:val="right"/>
              <w:rPr>
                <w:rFonts w:eastAsia="Times New Roman"/>
              </w:rPr>
            </w:pPr>
            <w:r>
              <w:rPr>
                <w:rFonts w:ascii="Arial" w:eastAsia="Times New Roman" w:hAnsi="Arial" w:cs="Arial"/>
                <w:sz w:val="16"/>
                <w:szCs w:val="16"/>
              </w:rPr>
              <w:t>6.999,10</w:t>
            </w:r>
          </w:p>
        </w:tc>
      </w:tr>
      <w:tr w:rsidR="00BA3275" w14:paraId="622A9C1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02E0F71" w14:textId="77777777" w:rsidR="00BA3275" w:rsidRDefault="00000000">
            <w:pPr>
              <w:rPr>
                <w:rFonts w:eastAsia="Times New Roman"/>
              </w:rPr>
            </w:pPr>
            <w:r>
              <w:rPr>
                <w:rFonts w:ascii="Arial" w:eastAsia="Times New Roman" w:hAnsi="Arial" w:cs="Arial"/>
                <w:sz w:val="16"/>
                <w:szCs w:val="16"/>
              </w:rPr>
              <w:t>Seguro Prestamista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337D9" w14:textId="77777777" w:rsidR="00BA3275" w:rsidRDefault="00000000" w:rsidP="00CF2DD0">
            <w:pPr>
              <w:jc w:val="right"/>
              <w:rPr>
                <w:rFonts w:eastAsia="Times New Roman"/>
              </w:rPr>
            </w:pPr>
            <w:r>
              <w:rPr>
                <w:rFonts w:ascii="Arial" w:eastAsia="Times New Roman" w:hAnsi="Arial" w:cs="Arial"/>
                <w:sz w:val="16"/>
                <w:szCs w:val="16"/>
              </w:rPr>
              <w:t>294.118,97</w:t>
            </w:r>
          </w:p>
        </w:tc>
        <w:tc>
          <w:tcPr>
            <w:tcW w:w="0" w:type="auto"/>
            <w:tcBorders>
              <w:top w:val="outset" w:sz="6" w:space="0" w:color="auto"/>
              <w:left w:val="outset" w:sz="6" w:space="0" w:color="auto"/>
              <w:bottom w:val="outset" w:sz="6" w:space="0" w:color="auto"/>
              <w:right w:val="outset" w:sz="6" w:space="0" w:color="auto"/>
            </w:tcBorders>
            <w:vAlign w:val="center"/>
            <w:hideMark/>
          </w:tcPr>
          <w:p w14:paraId="5652327C" w14:textId="77777777" w:rsidR="00BA3275" w:rsidRDefault="00000000" w:rsidP="00CF2DD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6790CC" w14:textId="77777777" w:rsidR="00BA3275" w:rsidRDefault="00000000">
            <w:pPr>
              <w:jc w:val="right"/>
              <w:rPr>
                <w:rFonts w:eastAsia="Times New Roman"/>
              </w:rPr>
            </w:pPr>
            <w:r>
              <w:rPr>
                <w:rFonts w:ascii="Arial" w:eastAsia="Times New Roman" w:hAnsi="Arial" w:cs="Arial"/>
                <w:sz w:val="16"/>
                <w:szCs w:val="16"/>
              </w:rPr>
              <w:t>294.118,97</w:t>
            </w:r>
          </w:p>
        </w:tc>
      </w:tr>
      <w:tr w:rsidR="00BA3275" w14:paraId="615755E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7B381EA" w14:textId="77777777" w:rsidR="00BA3275" w:rsidRDefault="00000000">
            <w:pPr>
              <w:rPr>
                <w:rFonts w:eastAsia="Times New Roman"/>
              </w:rPr>
            </w:pPr>
            <w:r>
              <w:rPr>
                <w:rFonts w:ascii="Arial" w:eastAsia="Times New Roman" w:hAnsi="Arial" w:cs="Arial"/>
                <w:sz w:val="16"/>
                <w:szCs w:val="16"/>
              </w:rPr>
              <w:t>Despesas com Cartões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C8BBA22" w14:textId="77777777" w:rsidR="00BA3275" w:rsidRDefault="00000000" w:rsidP="00CF2DD0">
            <w:pPr>
              <w:jc w:val="right"/>
              <w:rPr>
                <w:rFonts w:eastAsia="Times New Roman"/>
              </w:rPr>
            </w:pPr>
            <w:r>
              <w:rPr>
                <w:rFonts w:ascii="Arial" w:eastAsia="Times New Roman" w:hAnsi="Arial" w:cs="Arial"/>
                <w:sz w:val="16"/>
                <w:szCs w:val="16"/>
              </w:rPr>
              <w:t>154.463,17</w:t>
            </w:r>
          </w:p>
        </w:tc>
        <w:tc>
          <w:tcPr>
            <w:tcW w:w="0" w:type="auto"/>
            <w:tcBorders>
              <w:top w:val="outset" w:sz="6" w:space="0" w:color="auto"/>
              <w:left w:val="outset" w:sz="6" w:space="0" w:color="auto"/>
              <w:bottom w:val="outset" w:sz="6" w:space="0" w:color="auto"/>
              <w:right w:val="outset" w:sz="6" w:space="0" w:color="auto"/>
            </w:tcBorders>
            <w:vAlign w:val="center"/>
            <w:hideMark/>
          </w:tcPr>
          <w:p w14:paraId="7770992B" w14:textId="77777777" w:rsidR="00BA3275" w:rsidRDefault="00000000" w:rsidP="00CF2DD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5B0F943" w14:textId="77777777" w:rsidR="00BA3275" w:rsidRDefault="00000000">
            <w:pPr>
              <w:jc w:val="right"/>
              <w:rPr>
                <w:rFonts w:eastAsia="Times New Roman"/>
              </w:rPr>
            </w:pPr>
            <w:r>
              <w:rPr>
                <w:rFonts w:ascii="Arial" w:eastAsia="Times New Roman" w:hAnsi="Arial" w:cs="Arial"/>
                <w:sz w:val="16"/>
                <w:szCs w:val="16"/>
              </w:rPr>
              <w:t>154.463,17</w:t>
            </w:r>
          </w:p>
        </w:tc>
      </w:tr>
      <w:tr w:rsidR="00BA3275" w14:paraId="68AE369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E869112" w14:textId="77777777" w:rsidR="00BA3275" w:rsidRDefault="00000000">
            <w:pPr>
              <w:rPr>
                <w:rFonts w:eastAsia="Times New Roman"/>
              </w:rPr>
            </w:pPr>
            <w:r>
              <w:rPr>
                <w:rFonts w:ascii="Arial" w:eastAsia="Times New Roman" w:hAnsi="Arial" w:cs="Arial"/>
                <w:sz w:val="16"/>
                <w:szCs w:val="16"/>
              </w:rPr>
              <w:t>Valores a Pagar - Domicílio Bancário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854CD" w14:textId="77777777" w:rsidR="00BA3275" w:rsidRDefault="00000000" w:rsidP="00CF2DD0">
            <w:pPr>
              <w:jc w:val="right"/>
              <w:rPr>
                <w:rFonts w:eastAsia="Times New Roman"/>
              </w:rPr>
            </w:pPr>
            <w:r>
              <w:rPr>
                <w:rFonts w:ascii="Arial" w:eastAsia="Times New Roman" w:hAnsi="Arial" w:cs="Arial"/>
                <w:sz w:val="16"/>
                <w:szCs w:val="16"/>
              </w:rPr>
              <w:t>28.635,16</w:t>
            </w:r>
          </w:p>
        </w:tc>
        <w:tc>
          <w:tcPr>
            <w:tcW w:w="0" w:type="auto"/>
            <w:tcBorders>
              <w:top w:val="outset" w:sz="6" w:space="0" w:color="auto"/>
              <w:left w:val="outset" w:sz="6" w:space="0" w:color="auto"/>
              <w:bottom w:val="outset" w:sz="6" w:space="0" w:color="auto"/>
              <w:right w:val="outset" w:sz="6" w:space="0" w:color="auto"/>
            </w:tcBorders>
            <w:vAlign w:val="center"/>
            <w:hideMark/>
          </w:tcPr>
          <w:p w14:paraId="125A20A8" w14:textId="77777777" w:rsidR="00BA3275" w:rsidRDefault="00000000" w:rsidP="00CF2DD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6A37AE4" w14:textId="77777777" w:rsidR="00BA3275" w:rsidRDefault="00000000">
            <w:pPr>
              <w:jc w:val="right"/>
              <w:rPr>
                <w:rFonts w:eastAsia="Times New Roman"/>
              </w:rPr>
            </w:pPr>
            <w:r>
              <w:rPr>
                <w:rFonts w:ascii="Arial" w:eastAsia="Times New Roman" w:hAnsi="Arial" w:cs="Arial"/>
                <w:sz w:val="16"/>
                <w:szCs w:val="16"/>
              </w:rPr>
              <w:t>28.635,16</w:t>
            </w:r>
          </w:p>
        </w:tc>
      </w:tr>
      <w:tr w:rsidR="00BA3275" w14:paraId="04F0534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E716724" w14:textId="77777777" w:rsidR="00BA3275" w:rsidRDefault="00000000">
            <w:pPr>
              <w:rPr>
                <w:rFonts w:eastAsia="Times New Roman"/>
              </w:rPr>
            </w:pPr>
            <w:r>
              <w:rPr>
                <w:rFonts w:ascii="Arial" w:eastAsia="Times New Roman" w:hAnsi="Arial" w:cs="Arial"/>
                <w:sz w:val="16"/>
                <w:szCs w:val="16"/>
              </w:rPr>
              <w:t>Compensação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F8ECEEE" w14:textId="77777777" w:rsidR="00BA3275" w:rsidRDefault="00000000" w:rsidP="00CF2DD0">
            <w:pPr>
              <w:jc w:val="right"/>
              <w:rPr>
                <w:rFonts w:eastAsia="Times New Roman"/>
              </w:rPr>
            </w:pPr>
            <w:r>
              <w:rPr>
                <w:rFonts w:ascii="Arial" w:eastAsia="Times New Roman" w:hAnsi="Arial" w:cs="Arial"/>
                <w:sz w:val="16"/>
                <w:szCs w:val="16"/>
              </w:rPr>
              <w:t>13.035,26</w:t>
            </w:r>
          </w:p>
        </w:tc>
        <w:tc>
          <w:tcPr>
            <w:tcW w:w="0" w:type="auto"/>
            <w:tcBorders>
              <w:top w:val="outset" w:sz="6" w:space="0" w:color="auto"/>
              <w:left w:val="outset" w:sz="6" w:space="0" w:color="auto"/>
              <w:bottom w:val="outset" w:sz="6" w:space="0" w:color="auto"/>
              <w:right w:val="outset" w:sz="6" w:space="0" w:color="auto"/>
            </w:tcBorders>
            <w:vAlign w:val="center"/>
            <w:hideMark/>
          </w:tcPr>
          <w:p w14:paraId="04A56E3C" w14:textId="77777777" w:rsidR="00BA3275" w:rsidRDefault="00000000" w:rsidP="00CF2DD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982AB3E" w14:textId="77777777" w:rsidR="00BA3275" w:rsidRDefault="00000000">
            <w:pPr>
              <w:jc w:val="right"/>
              <w:rPr>
                <w:rFonts w:eastAsia="Times New Roman"/>
              </w:rPr>
            </w:pPr>
            <w:r>
              <w:rPr>
                <w:rFonts w:ascii="Arial" w:eastAsia="Times New Roman" w:hAnsi="Arial" w:cs="Arial"/>
                <w:sz w:val="16"/>
                <w:szCs w:val="16"/>
              </w:rPr>
              <w:t>13.035,26</w:t>
            </w:r>
          </w:p>
        </w:tc>
      </w:tr>
      <w:tr w:rsidR="00BA3275" w14:paraId="3C28064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2B67D0B" w14:textId="77777777" w:rsidR="00BA3275" w:rsidRDefault="00000000">
            <w:pPr>
              <w:rPr>
                <w:rFonts w:eastAsia="Times New Roman"/>
              </w:rPr>
            </w:pPr>
            <w:r>
              <w:rPr>
                <w:rFonts w:ascii="Arial" w:eastAsia="Times New Roman" w:hAnsi="Arial" w:cs="Arial"/>
                <w:sz w:val="16"/>
                <w:szCs w:val="16"/>
              </w:rPr>
              <w:t>Aluguéis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E7CAB6" w14:textId="77777777" w:rsidR="00BA3275" w:rsidRDefault="00000000" w:rsidP="00CF2DD0">
            <w:pPr>
              <w:jc w:val="right"/>
              <w:rPr>
                <w:rFonts w:eastAsia="Times New Roman"/>
              </w:rPr>
            </w:pPr>
            <w:r>
              <w:rPr>
                <w:rFonts w:ascii="Arial" w:eastAsia="Times New Roman" w:hAnsi="Arial" w:cs="Arial"/>
                <w:sz w:val="16"/>
                <w:szCs w:val="16"/>
              </w:rPr>
              <w:t>2.373,17</w:t>
            </w:r>
          </w:p>
        </w:tc>
        <w:tc>
          <w:tcPr>
            <w:tcW w:w="0" w:type="auto"/>
            <w:tcBorders>
              <w:top w:val="outset" w:sz="6" w:space="0" w:color="auto"/>
              <w:left w:val="outset" w:sz="6" w:space="0" w:color="auto"/>
              <w:bottom w:val="outset" w:sz="6" w:space="0" w:color="auto"/>
              <w:right w:val="outset" w:sz="6" w:space="0" w:color="auto"/>
            </w:tcBorders>
            <w:vAlign w:val="center"/>
            <w:hideMark/>
          </w:tcPr>
          <w:p w14:paraId="40589F67" w14:textId="77777777" w:rsidR="00BA3275" w:rsidRDefault="00000000" w:rsidP="00CF2DD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2E812DA" w14:textId="77777777" w:rsidR="00BA3275" w:rsidRDefault="00000000">
            <w:pPr>
              <w:jc w:val="right"/>
              <w:rPr>
                <w:rFonts w:eastAsia="Times New Roman"/>
              </w:rPr>
            </w:pPr>
            <w:r>
              <w:rPr>
                <w:rFonts w:ascii="Arial" w:eastAsia="Times New Roman" w:hAnsi="Arial" w:cs="Arial"/>
                <w:sz w:val="16"/>
                <w:szCs w:val="16"/>
              </w:rPr>
              <w:t>2.373,17</w:t>
            </w:r>
          </w:p>
        </w:tc>
      </w:tr>
      <w:tr w:rsidR="00BA3275" w14:paraId="63DDE84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6854D12" w14:textId="77777777" w:rsidR="00BA3275" w:rsidRDefault="00000000">
            <w:pPr>
              <w:rPr>
                <w:rFonts w:eastAsia="Times New Roman"/>
              </w:rPr>
            </w:pPr>
            <w:r>
              <w:rPr>
                <w:rFonts w:ascii="Arial" w:eastAsia="Times New Roman" w:hAnsi="Arial" w:cs="Arial"/>
                <w:sz w:val="16"/>
                <w:szCs w:val="16"/>
              </w:rPr>
              <w:t>Outras Provisão para Pagamentos a Efetuar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2EA9ABC" w14:textId="77777777" w:rsidR="00BA3275" w:rsidRDefault="00000000" w:rsidP="00CF2DD0">
            <w:pPr>
              <w:jc w:val="right"/>
              <w:rPr>
                <w:rFonts w:eastAsia="Times New Roman"/>
              </w:rPr>
            </w:pPr>
            <w:r>
              <w:rPr>
                <w:rFonts w:ascii="Arial" w:eastAsia="Times New Roman" w:hAnsi="Arial" w:cs="Arial"/>
                <w:sz w:val="16"/>
                <w:szCs w:val="16"/>
              </w:rPr>
              <w:t>236.365,85</w:t>
            </w:r>
          </w:p>
        </w:tc>
        <w:tc>
          <w:tcPr>
            <w:tcW w:w="0" w:type="auto"/>
            <w:tcBorders>
              <w:top w:val="outset" w:sz="6" w:space="0" w:color="auto"/>
              <w:left w:val="outset" w:sz="6" w:space="0" w:color="auto"/>
              <w:bottom w:val="outset" w:sz="6" w:space="0" w:color="auto"/>
              <w:right w:val="outset" w:sz="6" w:space="0" w:color="auto"/>
            </w:tcBorders>
            <w:vAlign w:val="center"/>
            <w:hideMark/>
          </w:tcPr>
          <w:p w14:paraId="1D3EE70E" w14:textId="77777777" w:rsidR="00BA3275" w:rsidRDefault="00000000" w:rsidP="00CF2DD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32C5E0" w14:textId="77777777" w:rsidR="00BA3275" w:rsidRDefault="00000000">
            <w:pPr>
              <w:jc w:val="right"/>
              <w:rPr>
                <w:rFonts w:eastAsia="Times New Roman"/>
              </w:rPr>
            </w:pPr>
            <w:r>
              <w:rPr>
                <w:rFonts w:ascii="Arial" w:eastAsia="Times New Roman" w:hAnsi="Arial" w:cs="Arial"/>
                <w:sz w:val="16"/>
                <w:szCs w:val="16"/>
              </w:rPr>
              <w:t>236.365,85</w:t>
            </w:r>
          </w:p>
        </w:tc>
      </w:tr>
      <w:tr w:rsidR="00BA3275" w14:paraId="013752D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324FE0D" w14:textId="77777777" w:rsidR="00BA3275"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32824" w14:textId="77777777" w:rsidR="00BA3275" w:rsidRDefault="00000000" w:rsidP="00CF2DD0">
            <w:pPr>
              <w:jc w:val="right"/>
              <w:rPr>
                <w:rFonts w:eastAsia="Times New Roman"/>
              </w:rPr>
            </w:pPr>
            <w:r>
              <w:rPr>
                <w:rFonts w:ascii="Arial" w:eastAsia="Times New Roman" w:hAnsi="Arial" w:cs="Arial"/>
                <w:b/>
                <w:bCs/>
                <w:sz w:val="16"/>
                <w:szCs w:val="16"/>
              </w:rPr>
              <w:t>2.061.971,07</w:t>
            </w:r>
          </w:p>
        </w:tc>
        <w:tc>
          <w:tcPr>
            <w:tcW w:w="0" w:type="auto"/>
            <w:tcBorders>
              <w:top w:val="outset" w:sz="6" w:space="0" w:color="auto"/>
              <w:left w:val="outset" w:sz="6" w:space="0" w:color="auto"/>
              <w:bottom w:val="outset" w:sz="6" w:space="0" w:color="auto"/>
              <w:right w:val="outset" w:sz="6" w:space="0" w:color="auto"/>
            </w:tcBorders>
            <w:vAlign w:val="center"/>
            <w:hideMark/>
          </w:tcPr>
          <w:p w14:paraId="3E97CABD" w14:textId="77777777" w:rsidR="00BA3275" w:rsidRDefault="00000000" w:rsidP="00CF2DD0">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0499072" w14:textId="77777777" w:rsidR="00BA3275" w:rsidRDefault="00000000">
            <w:pPr>
              <w:jc w:val="right"/>
              <w:rPr>
                <w:rFonts w:eastAsia="Times New Roman"/>
              </w:rPr>
            </w:pPr>
            <w:r>
              <w:rPr>
                <w:rFonts w:ascii="Arial" w:eastAsia="Times New Roman" w:hAnsi="Arial" w:cs="Arial"/>
                <w:b/>
                <w:bCs/>
                <w:sz w:val="16"/>
                <w:szCs w:val="16"/>
              </w:rPr>
              <w:t>2.061.971,07</w:t>
            </w:r>
          </w:p>
        </w:tc>
      </w:tr>
    </w:tbl>
    <w:p w14:paraId="7831295F" w14:textId="7215AA8C" w:rsidR="00BA3275" w:rsidRDefault="00000000">
      <w:pPr>
        <w:pStyle w:val="NormalWeb"/>
      </w:pPr>
      <w:r>
        <w:rPr>
          <w:rFonts w:ascii="Arial" w:hAnsi="Arial" w:cs="Arial"/>
          <w:b/>
          <w:bCs/>
          <w:sz w:val="20"/>
          <w:szCs w:val="20"/>
        </w:rPr>
        <w:t>16.</w:t>
      </w:r>
      <w:r w:rsidR="00CF2DD0">
        <w:rPr>
          <w:rFonts w:ascii="Arial" w:hAnsi="Arial" w:cs="Arial"/>
          <w:b/>
          <w:bCs/>
          <w:sz w:val="20"/>
          <w:szCs w:val="20"/>
        </w:rPr>
        <w:t>3</w:t>
      </w:r>
      <w:r>
        <w:rPr>
          <w:rFonts w:ascii="Arial" w:hAnsi="Arial" w:cs="Arial"/>
          <w:b/>
          <w:bCs/>
          <w:sz w:val="20"/>
          <w:szCs w:val="20"/>
        </w:rPr>
        <w:t xml:space="preserve"> Provisão para Demandas Judiciais</w:t>
      </w:r>
    </w:p>
    <w:p w14:paraId="110D1042" w14:textId="77777777" w:rsidR="00BA3275" w:rsidRDefault="00000000">
      <w:pPr>
        <w:pStyle w:val="NormalWeb"/>
        <w:jc w:val="both"/>
      </w:pPr>
      <w:r>
        <w:rPr>
          <w:rFonts w:ascii="Arial" w:hAnsi="Arial" w:cs="Arial"/>
          <w:sz w:val="20"/>
          <w:szCs w:val="20"/>
        </w:rPr>
        <w:t xml:space="preserve">Para fazer face às eventuais perdas que possam advir de questões judiciais e administrativas, a Cooperativa, considerando a natureza, a complexidade dos assuntos envolvidos e a avaliação de seus assessores jurídicos, mantém como provisão para contingências tributárias, trabalhistas e cíveis, classificadas como de </w:t>
      </w:r>
      <w:r>
        <w:rPr>
          <w:rFonts w:ascii="Arial" w:hAnsi="Arial" w:cs="Arial"/>
          <w:sz w:val="20"/>
          <w:szCs w:val="20"/>
        </w:rPr>
        <w:lastRenderedPageBreak/>
        <w:t>risco de perda provável, em montantes considerados suficientes para cobrir perdas em caso de desfecho desfavorável.</w:t>
      </w:r>
    </w:p>
    <w:p w14:paraId="3D357970" w14:textId="77777777" w:rsidR="00BA3275" w:rsidRDefault="00000000">
      <w:pPr>
        <w:pStyle w:val="NormalWeb"/>
        <w:jc w:val="both"/>
      </w:pPr>
      <w:r>
        <w:rPr>
          <w:rFonts w:ascii="Arial" w:hAnsi="Arial" w:cs="Arial"/>
          <w:sz w:val="20"/>
          <w:szCs w:val="20"/>
        </w:rPr>
        <w:t>Na data das demonstrações financeiras, a Cooperativa apresentava os seguintes passivos e depósitos judiciais relacionados às Demandas Judiciais:</w:t>
      </w:r>
    </w:p>
    <w:p w14:paraId="47807FC6" w14:textId="68986748" w:rsidR="00BA3275" w:rsidRDefault="00000000">
      <w:pPr>
        <w:pStyle w:val="NormalWeb"/>
      </w:pPr>
      <w:r>
        <w:rPr>
          <w:rFonts w:ascii="Arial" w:hAnsi="Arial" w:cs="Arial"/>
          <w:b/>
          <w:bCs/>
          <w:sz w:val="20"/>
          <w:szCs w:val="20"/>
        </w:rPr>
        <w:t>16.</w:t>
      </w:r>
      <w:r w:rsidR="00CF2DD0">
        <w:rPr>
          <w:rFonts w:ascii="Arial" w:hAnsi="Arial" w:cs="Arial"/>
          <w:b/>
          <w:bCs/>
          <w:sz w:val="20"/>
          <w:szCs w:val="20"/>
        </w:rPr>
        <w:t>4</w:t>
      </w:r>
      <w:r>
        <w:rPr>
          <w:rFonts w:ascii="Arial" w:hAnsi="Arial" w:cs="Arial"/>
          <w:b/>
          <w:bCs/>
          <w:sz w:val="20"/>
          <w:szCs w:val="20"/>
        </w:rPr>
        <w:t xml:space="preserve"> Provisão para Demandas Judiciais - Passivo</w:t>
      </w:r>
    </w:p>
    <w:tbl>
      <w:tblPr>
        <w:tblW w:w="5000" w:type="pct"/>
        <w:tblCellMar>
          <w:left w:w="0" w:type="dxa"/>
          <w:right w:w="0" w:type="dxa"/>
        </w:tblCellMar>
        <w:tblLook w:val="04A0" w:firstRow="1" w:lastRow="0" w:firstColumn="1" w:lastColumn="0" w:noHBand="0" w:noVBand="1"/>
      </w:tblPr>
      <w:tblGrid>
        <w:gridCol w:w="3961"/>
        <w:gridCol w:w="5661"/>
      </w:tblGrid>
      <w:tr w:rsidR="00BA3275" w14:paraId="0D321188" w14:textId="77777777">
        <w:trPr>
          <w:trHeight w:val="150"/>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7B2B0B7"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1CD087A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4D758F5" w14:textId="77777777" w:rsidR="00BA3275"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47CA4F0" w14:textId="77777777" w:rsidR="00BA3275" w:rsidRDefault="00000000">
            <w:pPr>
              <w:jc w:val="center"/>
              <w:rPr>
                <w:rFonts w:eastAsia="Times New Roman"/>
              </w:rPr>
            </w:pPr>
            <w:r>
              <w:rPr>
                <w:rFonts w:ascii="Arial" w:eastAsia="Times New Roman" w:hAnsi="Arial" w:cs="Arial"/>
                <w:b/>
                <w:bCs/>
                <w:sz w:val="16"/>
                <w:szCs w:val="16"/>
              </w:rPr>
              <w:t>Provisão para Contingências</w:t>
            </w:r>
          </w:p>
        </w:tc>
      </w:tr>
      <w:tr w:rsidR="00BA3275" w14:paraId="41AA6A6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6F09378" w14:textId="77777777" w:rsidR="00BA3275" w:rsidRDefault="00000000">
            <w:pPr>
              <w:rPr>
                <w:rFonts w:eastAsia="Times New Roman"/>
              </w:rPr>
            </w:pPr>
            <w:r>
              <w:rPr>
                <w:rFonts w:ascii="Arial" w:eastAsia="Times New Roman" w:hAnsi="Arial" w:cs="Arial"/>
                <w:sz w:val="16"/>
                <w:szCs w:val="16"/>
              </w:rPr>
              <w:t>PIS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65623DB" w14:textId="77777777" w:rsidR="00BA3275" w:rsidRDefault="00000000">
            <w:pPr>
              <w:jc w:val="right"/>
              <w:rPr>
                <w:rFonts w:eastAsia="Times New Roman"/>
              </w:rPr>
            </w:pPr>
            <w:r>
              <w:rPr>
                <w:rFonts w:ascii="Arial" w:eastAsia="Times New Roman" w:hAnsi="Arial" w:cs="Arial"/>
                <w:sz w:val="16"/>
                <w:szCs w:val="16"/>
              </w:rPr>
              <w:t>104.542,40</w:t>
            </w:r>
          </w:p>
        </w:tc>
      </w:tr>
      <w:tr w:rsidR="00BA3275" w14:paraId="7E585D4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1C146E4" w14:textId="77777777" w:rsidR="00BA3275" w:rsidRDefault="00000000">
            <w:pPr>
              <w:rPr>
                <w:rFonts w:eastAsia="Times New Roman"/>
              </w:rPr>
            </w:pPr>
            <w:r>
              <w:rPr>
                <w:rFonts w:ascii="Arial" w:eastAsia="Times New Roman" w:hAnsi="Arial" w:cs="Arial"/>
                <w:sz w:val="16"/>
                <w:szCs w:val="16"/>
              </w:rPr>
              <w:t>PIS FOLHA</w:t>
            </w:r>
          </w:p>
        </w:tc>
        <w:tc>
          <w:tcPr>
            <w:tcW w:w="0" w:type="auto"/>
            <w:tcBorders>
              <w:top w:val="outset" w:sz="6" w:space="0" w:color="auto"/>
              <w:left w:val="outset" w:sz="6" w:space="0" w:color="auto"/>
              <w:bottom w:val="outset" w:sz="6" w:space="0" w:color="auto"/>
              <w:right w:val="outset" w:sz="6" w:space="0" w:color="auto"/>
            </w:tcBorders>
            <w:vAlign w:val="center"/>
            <w:hideMark/>
          </w:tcPr>
          <w:p w14:paraId="2EC95F43" w14:textId="77777777" w:rsidR="00BA3275" w:rsidRDefault="00000000">
            <w:pPr>
              <w:jc w:val="right"/>
              <w:rPr>
                <w:rFonts w:eastAsia="Times New Roman"/>
              </w:rPr>
            </w:pPr>
            <w:r>
              <w:rPr>
                <w:rFonts w:ascii="Arial" w:eastAsia="Times New Roman" w:hAnsi="Arial" w:cs="Arial"/>
                <w:sz w:val="16"/>
                <w:szCs w:val="16"/>
              </w:rPr>
              <w:t>395.647,91</w:t>
            </w:r>
          </w:p>
        </w:tc>
      </w:tr>
      <w:tr w:rsidR="00BA3275" w14:paraId="5E19947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EFFB275" w14:textId="77777777" w:rsidR="00BA3275" w:rsidRDefault="00000000">
            <w:pPr>
              <w:rPr>
                <w:rFonts w:eastAsia="Times New Roman"/>
              </w:rPr>
            </w:pPr>
            <w:r>
              <w:rPr>
                <w:rFonts w:ascii="Arial" w:eastAsia="Times New Roman" w:hAnsi="Arial" w:cs="Arial"/>
                <w:sz w:val="16"/>
                <w:szCs w:val="16"/>
              </w:rPr>
              <w:t>Outras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6DEC93" w14:textId="77777777" w:rsidR="00BA3275" w:rsidRDefault="00000000">
            <w:pPr>
              <w:jc w:val="right"/>
              <w:rPr>
                <w:rFonts w:eastAsia="Times New Roman"/>
              </w:rPr>
            </w:pPr>
            <w:r>
              <w:rPr>
                <w:rFonts w:ascii="Arial" w:eastAsia="Times New Roman" w:hAnsi="Arial" w:cs="Arial"/>
                <w:sz w:val="16"/>
                <w:szCs w:val="16"/>
              </w:rPr>
              <w:t>154.858,48</w:t>
            </w:r>
          </w:p>
        </w:tc>
      </w:tr>
      <w:tr w:rsidR="00BA3275" w14:paraId="2FBF161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661D454" w14:textId="77777777" w:rsidR="00BA3275"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21B6359" w14:textId="77777777" w:rsidR="00BA3275" w:rsidRDefault="00000000">
            <w:pPr>
              <w:jc w:val="right"/>
              <w:rPr>
                <w:rFonts w:eastAsia="Times New Roman"/>
              </w:rPr>
            </w:pPr>
            <w:r>
              <w:rPr>
                <w:rFonts w:ascii="Arial" w:eastAsia="Times New Roman" w:hAnsi="Arial" w:cs="Arial"/>
                <w:b/>
                <w:bCs/>
                <w:sz w:val="16"/>
                <w:szCs w:val="16"/>
              </w:rPr>
              <w:t>655.048,79</w:t>
            </w:r>
          </w:p>
        </w:tc>
      </w:tr>
    </w:tbl>
    <w:p w14:paraId="51F37B59" w14:textId="1A9CA9C7" w:rsidR="00BA3275" w:rsidRDefault="00000000">
      <w:pPr>
        <w:pStyle w:val="NormalWeb"/>
      </w:pPr>
      <w:r>
        <w:rPr>
          <w:rFonts w:ascii="Arial" w:hAnsi="Arial" w:cs="Arial"/>
          <w:b/>
          <w:bCs/>
          <w:sz w:val="20"/>
          <w:szCs w:val="20"/>
        </w:rPr>
        <w:t>16.</w:t>
      </w:r>
      <w:r w:rsidR="00CF2DD0">
        <w:rPr>
          <w:rFonts w:ascii="Arial" w:hAnsi="Arial" w:cs="Arial"/>
          <w:b/>
          <w:bCs/>
          <w:sz w:val="20"/>
          <w:szCs w:val="20"/>
        </w:rPr>
        <w:t>5</w:t>
      </w:r>
      <w:r>
        <w:rPr>
          <w:rFonts w:ascii="Arial" w:hAnsi="Arial" w:cs="Arial"/>
          <w:b/>
          <w:bCs/>
          <w:sz w:val="20"/>
          <w:szCs w:val="20"/>
        </w:rPr>
        <w:t xml:space="preserve"> Depósitos Judiciais - Ativo</w:t>
      </w:r>
    </w:p>
    <w:tbl>
      <w:tblPr>
        <w:tblW w:w="5000" w:type="pct"/>
        <w:tblCellMar>
          <w:left w:w="0" w:type="dxa"/>
          <w:right w:w="0" w:type="dxa"/>
        </w:tblCellMar>
        <w:tblLook w:val="04A0" w:firstRow="1" w:lastRow="0" w:firstColumn="1" w:lastColumn="0" w:noHBand="0" w:noVBand="1"/>
      </w:tblPr>
      <w:tblGrid>
        <w:gridCol w:w="3534"/>
        <w:gridCol w:w="6088"/>
      </w:tblGrid>
      <w:tr w:rsidR="00BA3275" w14:paraId="38662D7D" w14:textId="77777777">
        <w:trPr>
          <w:trHeight w:val="150"/>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4CFF13C"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09BEF58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2EBF212" w14:textId="77777777" w:rsidR="00BA3275"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0B27853" w14:textId="77777777" w:rsidR="00BA3275" w:rsidRDefault="00000000">
            <w:pPr>
              <w:jc w:val="center"/>
              <w:rPr>
                <w:rFonts w:eastAsia="Times New Roman"/>
              </w:rPr>
            </w:pPr>
            <w:r>
              <w:rPr>
                <w:rFonts w:ascii="Arial" w:eastAsia="Times New Roman" w:hAnsi="Arial" w:cs="Arial"/>
                <w:b/>
                <w:bCs/>
                <w:sz w:val="16"/>
                <w:szCs w:val="16"/>
              </w:rPr>
              <w:t>Depósitos Judiciais</w:t>
            </w:r>
          </w:p>
        </w:tc>
      </w:tr>
      <w:tr w:rsidR="00BA3275" w14:paraId="309DDAA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DDEDD30" w14:textId="77777777" w:rsidR="00BA3275" w:rsidRDefault="00000000">
            <w:pPr>
              <w:rPr>
                <w:rFonts w:eastAsia="Times New Roman"/>
              </w:rPr>
            </w:pPr>
            <w:r>
              <w:rPr>
                <w:rFonts w:ascii="Arial" w:eastAsia="Times New Roman" w:hAnsi="Arial" w:cs="Arial"/>
                <w:sz w:val="16"/>
                <w:szCs w:val="16"/>
              </w:rPr>
              <w:t>PIS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9D878C4" w14:textId="77777777" w:rsidR="00BA3275" w:rsidRDefault="00000000">
            <w:pPr>
              <w:jc w:val="right"/>
              <w:rPr>
                <w:rFonts w:eastAsia="Times New Roman"/>
              </w:rPr>
            </w:pPr>
            <w:r>
              <w:rPr>
                <w:rFonts w:ascii="Arial" w:eastAsia="Times New Roman" w:hAnsi="Arial" w:cs="Arial"/>
                <w:sz w:val="16"/>
                <w:szCs w:val="16"/>
              </w:rPr>
              <w:t>104.542,40</w:t>
            </w:r>
          </w:p>
        </w:tc>
      </w:tr>
      <w:tr w:rsidR="00BA3275" w14:paraId="0ACC02C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2D9541E" w14:textId="77777777" w:rsidR="00BA3275" w:rsidRDefault="00000000">
            <w:pPr>
              <w:rPr>
                <w:rFonts w:eastAsia="Times New Roman"/>
              </w:rPr>
            </w:pPr>
            <w:r>
              <w:rPr>
                <w:rFonts w:ascii="Arial" w:eastAsia="Times New Roman" w:hAnsi="Arial" w:cs="Arial"/>
                <w:sz w:val="16"/>
                <w:szCs w:val="16"/>
              </w:rPr>
              <w:t>Trabalhistas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67CBF84" w14:textId="77777777" w:rsidR="00BA3275" w:rsidRDefault="00000000">
            <w:pPr>
              <w:jc w:val="right"/>
              <w:rPr>
                <w:rFonts w:eastAsia="Times New Roman"/>
              </w:rPr>
            </w:pPr>
            <w:r>
              <w:rPr>
                <w:rFonts w:ascii="Arial" w:eastAsia="Times New Roman" w:hAnsi="Arial" w:cs="Arial"/>
                <w:sz w:val="16"/>
                <w:szCs w:val="16"/>
              </w:rPr>
              <w:t>7.861,89</w:t>
            </w:r>
          </w:p>
        </w:tc>
      </w:tr>
      <w:tr w:rsidR="00BA3275" w14:paraId="0E2C761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F9314E9" w14:textId="77777777" w:rsidR="00BA3275" w:rsidRDefault="00000000">
            <w:pPr>
              <w:rPr>
                <w:rFonts w:eastAsia="Times New Roman"/>
              </w:rPr>
            </w:pPr>
            <w:r>
              <w:rPr>
                <w:rFonts w:ascii="Arial" w:eastAsia="Times New Roman" w:hAnsi="Arial" w:cs="Arial"/>
                <w:sz w:val="16"/>
                <w:szCs w:val="16"/>
              </w:rPr>
              <w:t>Outros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8960436" w14:textId="77777777" w:rsidR="00BA3275" w:rsidRDefault="00000000">
            <w:pPr>
              <w:jc w:val="right"/>
              <w:rPr>
                <w:rFonts w:eastAsia="Times New Roman"/>
              </w:rPr>
            </w:pPr>
            <w:r>
              <w:rPr>
                <w:rFonts w:ascii="Arial" w:eastAsia="Times New Roman" w:hAnsi="Arial" w:cs="Arial"/>
                <w:sz w:val="16"/>
                <w:szCs w:val="16"/>
              </w:rPr>
              <w:t>961,37</w:t>
            </w:r>
          </w:p>
        </w:tc>
      </w:tr>
      <w:tr w:rsidR="00BA3275" w14:paraId="43EB2BE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ABB2E77" w14:textId="77777777" w:rsidR="00BA3275"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9F26A77" w14:textId="77777777" w:rsidR="00BA3275" w:rsidRDefault="00000000">
            <w:pPr>
              <w:jc w:val="right"/>
              <w:rPr>
                <w:rFonts w:eastAsia="Times New Roman"/>
              </w:rPr>
            </w:pPr>
            <w:r>
              <w:rPr>
                <w:rFonts w:ascii="Arial" w:eastAsia="Times New Roman" w:hAnsi="Arial" w:cs="Arial"/>
                <w:b/>
                <w:bCs/>
                <w:sz w:val="16"/>
                <w:szCs w:val="16"/>
              </w:rPr>
              <w:t>113.365,66</w:t>
            </w:r>
          </w:p>
        </w:tc>
      </w:tr>
    </w:tbl>
    <w:p w14:paraId="0A2BD38E" w14:textId="05293FE0" w:rsidR="00BA3275" w:rsidRDefault="00000000">
      <w:pPr>
        <w:pStyle w:val="NormalWeb"/>
      </w:pPr>
      <w:r>
        <w:rPr>
          <w:rFonts w:ascii="Arial" w:hAnsi="Arial" w:cs="Arial"/>
          <w:b/>
          <w:bCs/>
          <w:sz w:val="20"/>
          <w:szCs w:val="20"/>
        </w:rPr>
        <w:t>16.</w:t>
      </w:r>
      <w:r w:rsidR="00CF2DD0">
        <w:rPr>
          <w:rFonts w:ascii="Arial" w:hAnsi="Arial" w:cs="Arial"/>
          <w:b/>
          <w:bCs/>
          <w:sz w:val="20"/>
          <w:szCs w:val="20"/>
        </w:rPr>
        <w:t>6</w:t>
      </w:r>
      <w:r>
        <w:rPr>
          <w:rFonts w:ascii="Arial" w:hAnsi="Arial" w:cs="Arial"/>
          <w:b/>
          <w:bCs/>
          <w:sz w:val="20"/>
          <w:szCs w:val="20"/>
        </w:rPr>
        <w:t xml:space="preserve"> Movimentação das Provisões para Demandas Judiciais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32"/>
        <w:gridCol w:w="1732"/>
        <w:gridCol w:w="1732"/>
        <w:gridCol w:w="1732"/>
      </w:tblGrid>
      <w:tr w:rsidR="00787183" w:rsidRPr="00787183" w14:paraId="02AC0630" w14:textId="77777777" w:rsidTr="00C01518">
        <w:trPr>
          <w:trHeight w:val="130"/>
        </w:trPr>
        <w:tc>
          <w:tcPr>
            <w:tcW w:w="2560" w:type="dxa"/>
            <w:vAlign w:val="center"/>
            <w:hideMark/>
          </w:tcPr>
          <w:p w14:paraId="467136E2" w14:textId="77777777" w:rsidR="00787183" w:rsidRPr="00787183" w:rsidRDefault="00787183" w:rsidP="00787183">
            <w:pPr>
              <w:jc w:val="center"/>
              <w:rPr>
                <w:rFonts w:ascii="Arial" w:eastAsia="Times New Roman" w:hAnsi="Arial" w:cs="Arial"/>
                <w:b/>
                <w:bCs/>
                <w:color w:val="000000"/>
                <w:kern w:val="0"/>
                <w:sz w:val="16"/>
                <w:szCs w:val="16"/>
                <w14:ligatures w14:val="none"/>
              </w:rPr>
            </w:pPr>
            <w:r w:rsidRPr="00787183">
              <w:rPr>
                <w:rFonts w:ascii="Arial" w:eastAsia="Times New Roman" w:hAnsi="Arial" w:cs="Arial"/>
                <w:b/>
                <w:bCs/>
                <w:color w:val="000000"/>
                <w:kern w:val="0"/>
                <w:sz w:val="16"/>
                <w:szCs w:val="16"/>
                <w14:ligatures w14:val="none"/>
              </w:rPr>
              <w:t>Descrição</w:t>
            </w:r>
          </w:p>
        </w:tc>
        <w:tc>
          <w:tcPr>
            <w:tcW w:w="1000" w:type="dxa"/>
            <w:vAlign w:val="center"/>
            <w:hideMark/>
          </w:tcPr>
          <w:p w14:paraId="00535E43" w14:textId="77777777" w:rsidR="00787183" w:rsidRPr="00787183" w:rsidRDefault="00787183" w:rsidP="00787183">
            <w:pPr>
              <w:jc w:val="center"/>
              <w:rPr>
                <w:rFonts w:ascii="Arial" w:eastAsia="Times New Roman" w:hAnsi="Arial" w:cs="Arial"/>
                <w:b/>
                <w:bCs/>
                <w:color w:val="000000"/>
                <w:kern w:val="0"/>
                <w:sz w:val="16"/>
                <w:szCs w:val="16"/>
                <w14:ligatures w14:val="none"/>
              </w:rPr>
            </w:pPr>
            <w:r w:rsidRPr="00787183">
              <w:rPr>
                <w:rFonts w:ascii="Arial" w:eastAsia="Times New Roman" w:hAnsi="Arial" w:cs="Arial"/>
                <w:b/>
                <w:bCs/>
                <w:color w:val="000000"/>
                <w:kern w:val="0"/>
                <w:sz w:val="16"/>
                <w:szCs w:val="16"/>
                <w14:ligatures w14:val="none"/>
              </w:rPr>
              <w:t>Cível</w:t>
            </w:r>
          </w:p>
        </w:tc>
        <w:tc>
          <w:tcPr>
            <w:tcW w:w="1000" w:type="dxa"/>
            <w:vAlign w:val="center"/>
            <w:hideMark/>
          </w:tcPr>
          <w:p w14:paraId="1953E1DF" w14:textId="77777777" w:rsidR="00787183" w:rsidRPr="00787183" w:rsidRDefault="00787183" w:rsidP="00787183">
            <w:pPr>
              <w:jc w:val="center"/>
              <w:rPr>
                <w:rFonts w:ascii="Arial" w:eastAsia="Times New Roman" w:hAnsi="Arial" w:cs="Arial"/>
                <w:b/>
                <w:bCs/>
                <w:color w:val="000000"/>
                <w:kern w:val="0"/>
                <w:sz w:val="16"/>
                <w:szCs w:val="16"/>
                <w14:ligatures w14:val="none"/>
              </w:rPr>
            </w:pPr>
            <w:r w:rsidRPr="00787183">
              <w:rPr>
                <w:rFonts w:ascii="Arial" w:eastAsia="Times New Roman" w:hAnsi="Arial" w:cs="Arial"/>
                <w:b/>
                <w:bCs/>
                <w:color w:val="000000"/>
                <w:kern w:val="0"/>
                <w:sz w:val="16"/>
                <w:szCs w:val="16"/>
                <w14:ligatures w14:val="none"/>
              </w:rPr>
              <w:t>Tributário</w:t>
            </w:r>
          </w:p>
        </w:tc>
        <w:tc>
          <w:tcPr>
            <w:tcW w:w="1000" w:type="dxa"/>
            <w:vAlign w:val="center"/>
            <w:hideMark/>
          </w:tcPr>
          <w:p w14:paraId="420CDDF6" w14:textId="77777777" w:rsidR="00787183" w:rsidRPr="00787183" w:rsidRDefault="00787183" w:rsidP="00787183">
            <w:pPr>
              <w:jc w:val="center"/>
              <w:rPr>
                <w:rFonts w:ascii="Arial" w:eastAsia="Times New Roman" w:hAnsi="Arial" w:cs="Arial"/>
                <w:b/>
                <w:bCs/>
                <w:color w:val="000000"/>
                <w:kern w:val="0"/>
                <w:sz w:val="16"/>
                <w:szCs w:val="16"/>
                <w14:ligatures w14:val="none"/>
              </w:rPr>
            </w:pPr>
            <w:r w:rsidRPr="00787183">
              <w:rPr>
                <w:rFonts w:ascii="Arial" w:eastAsia="Times New Roman" w:hAnsi="Arial" w:cs="Arial"/>
                <w:b/>
                <w:bCs/>
                <w:color w:val="000000"/>
                <w:kern w:val="0"/>
                <w:sz w:val="16"/>
                <w:szCs w:val="16"/>
                <w14:ligatures w14:val="none"/>
              </w:rPr>
              <w:t>Total</w:t>
            </w:r>
          </w:p>
        </w:tc>
      </w:tr>
      <w:tr w:rsidR="00787183" w:rsidRPr="00787183" w14:paraId="0DB99C37" w14:textId="77777777" w:rsidTr="00C01518">
        <w:trPr>
          <w:trHeight w:val="130"/>
        </w:trPr>
        <w:tc>
          <w:tcPr>
            <w:tcW w:w="2560" w:type="dxa"/>
            <w:vAlign w:val="center"/>
            <w:hideMark/>
          </w:tcPr>
          <w:p w14:paraId="1C7600A2" w14:textId="77777777" w:rsidR="00787183" w:rsidRPr="00787183" w:rsidRDefault="00787183" w:rsidP="00787183">
            <w:pPr>
              <w:rPr>
                <w:rFonts w:ascii="Arial" w:eastAsia="Times New Roman" w:hAnsi="Arial" w:cs="Arial"/>
                <w:b/>
                <w:bCs/>
                <w:color w:val="000000"/>
                <w:kern w:val="0"/>
                <w:sz w:val="16"/>
                <w:szCs w:val="16"/>
                <w14:ligatures w14:val="none"/>
              </w:rPr>
            </w:pPr>
            <w:r w:rsidRPr="00787183">
              <w:rPr>
                <w:rFonts w:ascii="Arial" w:eastAsia="Times New Roman" w:hAnsi="Arial" w:cs="Arial"/>
                <w:b/>
                <w:bCs/>
                <w:color w:val="000000"/>
                <w:kern w:val="0"/>
                <w:sz w:val="16"/>
                <w:szCs w:val="16"/>
                <w14:ligatures w14:val="none"/>
              </w:rPr>
              <w:t>Saldo em 01 janeiro de 2025</w:t>
            </w:r>
          </w:p>
        </w:tc>
        <w:tc>
          <w:tcPr>
            <w:tcW w:w="1000" w:type="dxa"/>
            <w:vAlign w:val="center"/>
            <w:hideMark/>
          </w:tcPr>
          <w:p w14:paraId="76030C3C" w14:textId="77777777" w:rsidR="00787183" w:rsidRPr="00787183" w:rsidRDefault="00787183" w:rsidP="00787183">
            <w:pPr>
              <w:jc w:val="right"/>
              <w:rPr>
                <w:rFonts w:ascii="Arial" w:eastAsia="Times New Roman" w:hAnsi="Arial" w:cs="Arial"/>
                <w:b/>
                <w:bCs/>
                <w:color w:val="000000"/>
                <w:kern w:val="0"/>
                <w:sz w:val="16"/>
                <w:szCs w:val="16"/>
                <w14:ligatures w14:val="none"/>
              </w:rPr>
            </w:pPr>
            <w:r w:rsidRPr="00787183">
              <w:rPr>
                <w:rFonts w:ascii="Arial" w:eastAsia="Times New Roman" w:hAnsi="Arial" w:cs="Arial"/>
                <w:b/>
                <w:bCs/>
                <w:color w:val="000000"/>
                <w:kern w:val="0"/>
                <w:sz w:val="16"/>
                <w:szCs w:val="16"/>
                <w14:ligatures w14:val="none"/>
              </w:rPr>
              <w:t xml:space="preserve"> 127.267,00 </w:t>
            </w:r>
          </w:p>
        </w:tc>
        <w:tc>
          <w:tcPr>
            <w:tcW w:w="1000" w:type="dxa"/>
            <w:vAlign w:val="center"/>
            <w:hideMark/>
          </w:tcPr>
          <w:p w14:paraId="6DF95247" w14:textId="77777777" w:rsidR="00787183" w:rsidRPr="00787183" w:rsidRDefault="00787183" w:rsidP="00787183">
            <w:pPr>
              <w:jc w:val="right"/>
              <w:rPr>
                <w:rFonts w:ascii="Arial" w:eastAsia="Times New Roman" w:hAnsi="Arial" w:cs="Arial"/>
                <w:b/>
                <w:bCs/>
                <w:color w:val="000000"/>
                <w:kern w:val="0"/>
                <w:sz w:val="16"/>
                <w:szCs w:val="16"/>
                <w14:ligatures w14:val="none"/>
              </w:rPr>
            </w:pPr>
            <w:r w:rsidRPr="00787183">
              <w:rPr>
                <w:rFonts w:ascii="Arial" w:eastAsia="Times New Roman" w:hAnsi="Arial" w:cs="Arial"/>
                <w:b/>
                <w:bCs/>
                <w:color w:val="000000"/>
                <w:kern w:val="0"/>
                <w:sz w:val="16"/>
                <w:szCs w:val="16"/>
                <w14:ligatures w14:val="none"/>
              </w:rPr>
              <w:t xml:space="preserve"> 470.791,28 </w:t>
            </w:r>
          </w:p>
        </w:tc>
        <w:tc>
          <w:tcPr>
            <w:tcW w:w="1000" w:type="dxa"/>
            <w:vAlign w:val="center"/>
            <w:hideMark/>
          </w:tcPr>
          <w:p w14:paraId="10D670FF" w14:textId="77777777" w:rsidR="00787183" w:rsidRPr="00787183" w:rsidRDefault="00787183" w:rsidP="00787183">
            <w:pPr>
              <w:jc w:val="right"/>
              <w:rPr>
                <w:rFonts w:ascii="Arial" w:eastAsia="Times New Roman" w:hAnsi="Arial" w:cs="Arial"/>
                <w:b/>
                <w:bCs/>
                <w:color w:val="000000"/>
                <w:kern w:val="0"/>
                <w:sz w:val="16"/>
                <w:szCs w:val="16"/>
                <w14:ligatures w14:val="none"/>
              </w:rPr>
            </w:pPr>
            <w:r w:rsidRPr="00787183">
              <w:rPr>
                <w:rFonts w:ascii="Arial" w:eastAsia="Times New Roman" w:hAnsi="Arial" w:cs="Arial"/>
                <w:b/>
                <w:bCs/>
                <w:color w:val="000000"/>
                <w:kern w:val="0"/>
                <w:sz w:val="16"/>
                <w:szCs w:val="16"/>
                <w14:ligatures w14:val="none"/>
              </w:rPr>
              <w:t xml:space="preserve"> 598.058,28 </w:t>
            </w:r>
          </w:p>
        </w:tc>
      </w:tr>
      <w:tr w:rsidR="00787183" w:rsidRPr="00787183" w14:paraId="67423F3B" w14:textId="77777777" w:rsidTr="00C01518">
        <w:trPr>
          <w:trHeight w:val="130"/>
        </w:trPr>
        <w:tc>
          <w:tcPr>
            <w:tcW w:w="2560" w:type="dxa"/>
            <w:vAlign w:val="center"/>
            <w:hideMark/>
          </w:tcPr>
          <w:p w14:paraId="24AA9896" w14:textId="77777777" w:rsidR="00787183" w:rsidRPr="00787183" w:rsidRDefault="00787183" w:rsidP="00787183">
            <w:pPr>
              <w:rPr>
                <w:rFonts w:ascii="Arial" w:eastAsia="Times New Roman" w:hAnsi="Arial" w:cs="Arial"/>
                <w:color w:val="000000"/>
                <w:kern w:val="0"/>
                <w:sz w:val="16"/>
                <w:szCs w:val="16"/>
                <w14:ligatures w14:val="none"/>
              </w:rPr>
            </w:pPr>
            <w:r w:rsidRPr="00787183">
              <w:rPr>
                <w:rFonts w:ascii="Arial" w:eastAsia="Times New Roman" w:hAnsi="Arial" w:cs="Arial"/>
                <w:color w:val="000000"/>
                <w:kern w:val="0"/>
                <w:sz w:val="16"/>
                <w:szCs w:val="16"/>
                <w14:ligatures w14:val="none"/>
              </w:rPr>
              <w:t>Constituição da provisão</w:t>
            </w:r>
          </w:p>
        </w:tc>
        <w:tc>
          <w:tcPr>
            <w:tcW w:w="1000" w:type="dxa"/>
            <w:vAlign w:val="center"/>
            <w:hideMark/>
          </w:tcPr>
          <w:p w14:paraId="3FAC8B95" w14:textId="77777777" w:rsidR="00787183" w:rsidRPr="00787183" w:rsidRDefault="00787183" w:rsidP="00787183">
            <w:pPr>
              <w:jc w:val="right"/>
              <w:rPr>
                <w:rFonts w:ascii="Arial" w:eastAsia="Times New Roman" w:hAnsi="Arial" w:cs="Arial"/>
                <w:color w:val="000000"/>
                <w:kern w:val="0"/>
                <w:sz w:val="16"/>
                <w:szCs w:val="16"/>
                <w14:ligatures w14:val="none"/>
              </w:rPr>
            </w:pPr>
            <w:r w:rsidRPr="00787183">
              <w:rPr>
                <w:rFonts w:ascii="Arial" w:eastAsia="Times New Roman" w:hAnsi="Arial" w:cs="Arial"/>
                <w:color w:val="000000"/>
                <w:kern w:val="0"/>
                <w:sz w:val="16"/>
                <w:szCs w:val="16"/>
                <w14:ligatures w14:val="none"/>
              </w:rPr>
              <w:t xml:space="preserve">   84.154,38 </w:t>
            </w:r>
          </w:p>
        </w:tc>
        <w:tc>
          <w:tcPr>
            <w:tcW w:w="1000" w:type="dxa"/>
            <w:vAlign w:val="center"/>
            <w:hideMark/>
          </w:tcPr>
          <w:p w14:paraId="5973ABD8" w14:textId="77777777" w:rsidR="00787183" w:rsidRPr="00787183" w:rsidRDefault="00787183" w:rsidP="00787183">
            <w:pPr>
              <w:jc w:val="right"/>
              <w:rPr>
                <w:rFonts w:ascii="Arial" w:eastAsia="Times New Roman" w:hAnsi="Arial" w:cs="Arial"/>
                <w:color w:val="000000"/>
                <w:kern w:val="0"/>
                <w:sz w:val="16"/>
                <w:szCs w:val="16"/>
                <w14:ligatures w14:val="none"/>
              </w:rPr>
            </w:pPr>
            <w:r w:rsidRPr="00787183">
              <w:rPr>
                <w:rFonts w:ascii="Arial" w:eastAsia="Times New Roman" w:hAnsi="Arial" w:cs="Arial"/>
                <w:color w:val="000000"/>
                <w:kern w:val="0"/>
                <w:sz w:val="16"/>
                <w:szCs w:val="16"/>
                <w14:ligatures w14:val="none"/>
              </w:rPr>
              <w:t xml:space="preserve"> - </w:t>
            </w:r>
          </w:p>
        </w:tc>
        <w:tc>
          <w:tcPr>
            <w:tcW w:w="1000" w:type="dxa"/>
            <w:vAlign w:val="center"/>
            <w:hideMark/>
          </w:tcPr>
          <w:p w14:paraId="459459B5" w14:textId="77777777" w:rsidR="00787183" w:rsidRPr="00787183" w:rsidRDefault="00787183" w:rsidP="00787183">
            <w:pPr>
              <w:jc w:val="right"/>
              <w:rPr>
                <w:rFonts w:ascii="Arial" w:eastAsia="Times New Roman" w:hAnsi="Arial" w:cs="Arial"/>
                <w:color w:val="000000"/>
                <w:kern w:val="0"/>
                <w:sz w:val="16"/>
                <w:szCs w:val="16"/>
                <w14:ligatures w14:val="none"/>
              </w:rPr>
            </w:pPr>
            <w:r w:rsidRPr="00787183">
              <w:rPr>
                <w:rFonts w:ascii="Arial" w:eastAsia="Times New Roman" w:hAnsi="Arial" w:cs="Arial"/>
                <w:color w:val="000000"/>
                <w:kern w:val="0"/>
                <w:sz w:val="16"/>
                <w:szCs w:val="16"/>
                <w14:ligatures w14:val="none"/>
              </w:rPr>
              <w:t xml:space="preserve">   84.154,38 </w:t>
            </w:r>
          </w:p>
        </w:tc>
      </w:tr>
      <w:tr w:rsidR="00787183" w:rsidRPr="00787183" w14:paraId="30E2C40E" w14:textId="77777777" w:rsidTr="00C01518">
        <w:trPr>
          <w:trHeight w:val="130"/>
        </w:trPr>
        <w:tc>
          <w:tcPr>
            <w:tcW w:w="2560" w:type="dxa"/>
            <w:vAlign w:val="center"/>
            <w:hideMark/>
          </w:tcPr>
          <w:p w14:paraId="7380A966" w14:textId="77777777" w:rsidR="00787183" w:rsidRPr="00787183" w:rsidRDefault="00787183" w:rsidP="00787183">
            <w:pPr>
              <w:rPr>
                <w:rFonts w:ascii="Arial" w:eastAsia="Times New Roman" w:hAnsi="Arial" w:cs="Arial"/>
                <w:color w:val="000000"/>
                <w:kern w:val="0"/>
                <w:sz w:val="16"/>
                <w:szCs w:val="16"/>
                <w14:ligatures w14:val="none"/>
              </w:rPr>
            </w:pPr>
            <w:r w:rsidRPr="00787183">
              <w:rPr>
                <w:rFonts w:ascii="Arial" w:eastAsia="Times New Roman" w:hAnsi="Arial" w:cs="Arial"/>
                <w:color w:val="000000"/>
                <w:kern w:val="0"/>
                <w:sz w:val="16"/>
                <w:szCs w:val="16"/>
                <w14:ligatures w14:val="none"/>
              </w:rPr>
              <w:t>Reversão da provisão</w:t>
            </w:r>
          </w:p>
        </w:tc>
        <w:tc>
          <w:tcPr>
            <w:tcW w:w="1000" w:type="dxa"/>
            <w:vAlign w:val="center"/>
            <w:hideMark/>
          </w:tcPr>
          <w:p w14:paraId="29EFAEA2" w14:textId="3DC306D6" w:rsidR="00787183" w:rsidRPr="00787183" w:rsidRDefault="00787183" w:rsidP="00787183">
            <w:pPr>
              <w:jc w:val="right"/>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w:t>
            </w:r>
            <w:r w:rsidRPr="00787183">
              <w:rPr>
                <w:rFonts w:ascii="Arial" w:eastAsia="Times New Roman" w:hAnsi="Arial" w:cs="Arial"/>
                <w:color w:val="000000"/>
                <w:kern w:val="0"/>
                <w:sz w:val="16"/>
                <w:szCs w:val="16"/>
                <w14:ligatures w14:val="none"/>
              </w:rPr>
              <w:t>56.562,90</w:t>
            </w:r>
            <w:r>
              <w:rPr>
                <w:rFonts w:ascii="Arial" w:eastAsia="Times New Roman" w:hAnsi="Arial" w:cs="Arial"/>
                <w:color w:val="000000"/>
                <w:kern w:val="0"/>
                <w:sz w:val="16"/>
                <w:szCs w:val="16"/>
                <w14:ligatures w14:val="none"/>
              </w:rPr>
              <w:t>)</w:t>
            </w:r>
          </w:p>
        </w:tc>
        <w:tc>
          <w:tcPr>
            <w:tcW w:w="1000" w:type="dxa"/>
            <w:vAlign w:val="center"/>
            <w:hideMark/>
          </w:tcPr>
          <w:p w14:paraId="6B0B4B00" w14:textId="77777777" w:rsidR="00787183" w:rsidRPr="00787183" w:rsidRDefault="00787183" w:rsidP="00787183">
            <w:pPr>
              <w:jc w:val="right"/>
              <w:rPr>
                <w:rFonts w:ascii="Arial" w:eastAsia="Times New Roman" w:hAnsi="Arial" w:cs="Arial"/>
                <w:color w:val="000000"/>
                <w:kern w:val="0"/>
                <w:sz w:val="16"/>
                <w:szCs w:val="16"/>
                <w14:ligatures w14:val="none"/>
              </w:rPr>
            </w:pPr>
            <w:r w:rsidRPr="00787183">
              <w:rPr>
                <w:rFonts w:ascii="Arial" w:eastAsia="Times New Roman" w:hAnsi="Arial" w:cs="Arial"/>
                <w:color w:val="000000"/>
                <w:kern w:val="0"/>
                <w:sz w:val="16"/>
                <w:szCs w:val="16"/>
                <w14:ligatures w14:val="none"/>
              </w:rPr>
              <w:t xml:space="preserve"> - </w:t>
            </w:r>
          </w:p>
        </w:tc>
        <w:tc>
          <w:tcPr>
            <w:tcW w:w="1000" w:type="dxa"/>
            <w:vAlign w:val="center"/>
            <w:hideMark/>
          </w:tcPr>
          <w:p w14:paraId="2B492A26" w14:textId="5BA1E763" w:rsidR="00787183" w:rsidRPr="00787183" w:rsidRDefault="00787183" w:rsidP="00787183">
            <w:pPr>
              <w:jc w:val="right"/>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w:t>
            </w:r>
            <w:r w:rsidRPr="00787183">
              <w:rPr>
                <w:rFonts w:ascii="Arial" w:eastAsia="Times New Roman" w:hAnsi="Arial" w:cs="Arial"/>
                <w:color w:val="000000"/>
                <w:kern w:val="0"/>
                <w:sz w:val="16"/>
                <w:szCs w:val="16"/>
                <w14:ligatures w14:val="none"/>
              </w:rPr>
              <w:t>56.562,90</w:t>
            </w:r>
            <w:r>
              <w:rPr>
                <w:rFonts w:ascii="Arial" w:eastAsia="Times New Roman" w:hAnsi="Arial" w:cs="Arial"/>
                <w:color w:val="000000"/>
                <w:kern w:val="0"/>
                <w:sz w:val="16"/>
                <w:szCs w:val="16"/>
                <w14:ligatures w14:val="none"/>
              </w:rPr>
              <w:t>)</w:t>
            </w:r>
          </w:p>
        </w:tc>
      </w:tr>
      <w:tr w:rsidR="00787183" w:rsidRPr="00787183" w14:paraId="265E0EBC" w14:textId="77777777" w:rsidTr="00C01518">
        <w:trPr>
          <w:trHeight w:val="130"/>
        </w:trPr>
        <w:tc>
          <w:tcPr>
            <w:tcW w:w="2560" w:type="dxa"/>
            <w:vAlign w:val="center"/>
            <w:hideMark/>
          </w:tcPr>
          <w:p w14:paraId="0688152C" w14:textId="77777777" w:rsidR="00787183" w:rsidRPr="00787183" w:rsidRDefault="00787183" w:rsidP="00787183">
            <w:pPr>
              <w:rPr>
                <w:rFonts w:ascii="Arial" w:eastAsia="Times New Roman" w:hAnsi="Arial" w:cs="Arial"/>
                <w:color w:val="000000"/>
                <w:kern w:val="0"/>
                <w:sz w:val="16"/>
                <w:szCs w:val="16"/>
                <w14:ligatures w14:val="none"/>
              </w:rPr>
            </w:pPr>
            <w:r w:rsidRPr="00787183">
              <w:rPr>
                <w:rFonts w:ascii="Arial" w:eastAsia="Times New Roman" w:hAnsi="Arial" w:cs="Arial"/>
                <w:color w:val="000000"/>
                <w:kern w:val="0"/>
                <w:sz w:val="16"/>
                <w:szCs w:val="16"/>
                <w14:ligatures w14:val="none"/>
              </w:rPr>
              <w:t>Atualização durante do semestre</w:t>
            </w:r>
          </w:p>
        </w:tc>
        <w:tc>
          <w:tcPr>
            <w:tcW w:w="1000" w:type="dxa"/>
            <w:vAlign w:val="center"/>
            <w:hideMark/>
          </w:tcPr>
          <w:p w14:paraId="2DA0E26C" w14:textId="77777777" w:rsidR="00787183" w:rsidRPr="00787183" w:rsidRDefault="00787183" w:rsidP="00787183">
            <w:pPr>
              <w:jc w:val="right"/>
              <w:rPr>
                <w:rFonts w:ascii="Arial" w:eastAsia="Times New Roman" w:hAnsi="Arial" w:cs="Arial"/>
                <w:color w:val="000000"/>
                <w:kern w:val="0"/>
                <w:sz w:val="16"/>
                <w:szCs w:val="16"/>
                <w14:ligatures w14:val="none"/>
              </w:rPr>
            </w:pPr>
            <w:r w:rsidRPr="00787183">
              <w:rPr>
                <w:rFonts w:ascii="Arial" w:eastAsia="Times New Roman" w:hAnsi="Arial" w:cs="Arial"/>
                <w:color w:val="000000"/>
                <w:kern w:val="0"/>
                <w:sz w:val="16"/>
                <w:szCs w:val="16"/>
                <w14:ligatures w14:val="none"/>
              </w:rPr>
              <w:t xml:space="preserve"> - </w:t>
            </w:r>
          </w:p>
        </w:tc>
        <w:tc>
          <w:tcPr>
            <w:tcW w:w="1000" w:type="dxa"/>
            <w:vAlign w:val="center"/>
            <w:hideMark/>
          </w:tcPr>
          <w:p w14:paraId="101B0DDF" w14:textId="77777777" w:rsidR="00787183" w:rsidRPr="00787183" w:rsidRDefault="00787183" w:rsidP="00787183">
            <w:pPr>
              <w:jc w:val="right"/>
              <w:rPr>
                <w:rFonts w:ascii="Arial" w:eastAsia="Times New Roman" w:hAnsi="Arial" w:cs="Arial"/>
                <w:color w:val="000000"/>
                <w:kern w:val="0"/>
                <w:sz w:val="16"/>
                <w:szCs w:val="16"/>
                <w14:ligatures w14:val="none"/>
              </w:rPr>
            </w:pPr>
            <w:r w:rsidRPr="00787183">
              <w:rPr>
                <w:rFonts w:ascii="Arial" w:eastAsia="Times New Roman" w:hAnsi="Arial" w:cs="Arial"/>
                <w:color w:val="000000"/>
                <w:kern w:val="0"/>
                <w:sz w:val="16"/>
                <w:szCs w:val="16"/>
                <w14:ligatures w14:val="none"/>
              </w:rPr>
              <w:t xml:space="preserve">   29.399,03 </w:t>
            </w:r>
          </w:p>
        </w:tc>
        <w:tc>
          <w:tcPr>
            <w:tcW w:w="1000" w:type="dxa"/>
            <w:vAlign w:val="center"/>
            <w:hideMark/>
          </w:tcPr>
          <w:p w14:paraId="78EFE62C" w14:textId="77777777" w:rsidR="00787183" w:rsidRPr="00787183" w:rsidRDefault="00787183" w:rsidP="00787183">
            <w:pPr>
              <w:jc w:val="right"/>
              <w:rPr>
                <w:rFonts w:ascii="Arial" w:eastAsia="Times New Roman" w:hAnsi="Arial" w:cs="Arial"/>
                <w:color w:val="000000"/>
                <w:kern w:val="0"/>
                <w:sz w:val="16"/>
                <w:szCs w:val="16"/>
                <w14:ligatures w14:val="none"/>
              </w:rPr>
            </w:pPr>
            <w:r w:rsidRPr="00787183">
              <w:rPr>
                <w:rFonts w:ascii="Arial" w:eastAsia="Times New Roman" w:hAnsi="Arial" w:cs="Arial"/>
                <w:color w:val="000000"/>
                <w:kern w:val="0"/>
                <w:sz w:val="16"/>
                <w:szCs w:val="16"/>
                <w14:ligatures w14:val="none"/>
              </w:rPr>
              <w:t xml:space="preserve">   29.399,03 </w:t>
            </w:r>
          </w:p>
        </w:tc>
      </w:tr>
      <w:tr w:rsidR="00787183" w:rsidRPr="00787183" w14:paraId="3523AC9D" w14:textId="77777777" w:rsidTr="00C01518">
        <w:trPr>
          <w:trHeight w:val="130"/>
        </w:trPr>
        <w:tc>
          <w:tcPr>
            <w:tcW w:w="2560" w:type="dxa"/>
            <w:vAlign w:val="center"/>
            <w:hideMark/>
          </w:tcPr>
          <w:p w14:paraId="016819BE" w14:textId="77777777" w:rsidR="00787183" w:rsidRPr="00787183" w:rsidRDefault="00787183" w:rsidP="00787183">
            <w:pPr>
              <w:rPr>
                <w:rFonts w:ascii="Arial" w:eastAsia="Times New Roman" w:hAnsi="Arial" w:cs="Arial"/>
                <w:b/>
                <w:bCs/>
                <w:color w:val="000000"/>
                <w:kern w:val="0"/>
                <w:sz w:val="16"/>
                <w:szCs w:val="16"/>
                <w14:ligatures w14:val="none"/>
              </w:rPr>
            </w:pPr>
            <w:r w:rsidRPr="00787183">
              <w:rPr>
                <w:rFonts w:ascii="Arial" w:eastAsia="Times New Roman" w:hAnsi="Arial" w:cs="Arial"/>
                <w:b/>
                <w:bCs/>
                <w:color w:val="000000"/>
                <w:kern w:val="0"/>
                <w:sz w:val="16"/>
                <w:szCs w:val="16"/>
                <w14:ligatures w14:val="none"/>
              </w:rPr>
              <w:t>Saldo em 30 de junho de 2025</w:t>
            </w:r>
          </w:p>
        </w:tc>
        <w:tc>
          <w:tcPr>
            <w:tcW w:w="1000" w:type="dxa"/>
            <w:vAlign w:val="center"/>
            <w:hideMark/>
          </w:tcPr>
          <w:p w14:paraId="11B04087" w14:textId="77777777" w:rsidR="00787183" w:rsidRPr="00787183" w:rsidRDefault="00787183" w:rsidP="00787183">
            <w:pPr>
              <w:jc w:val="right"/>
              <w:rPr>
                <w:rFonts w:ascii="Arial" w:eastAsia="Times New Roman" w:hAnsi="Arial" w:cs="Arial"/>
                <w:b/>
                <w:bCs/>
                <w:color w:val="000000"/>
                <w:kern w:val="0"/>
                <w:sz w:val="16"/>
                <w:szCs w:val="16"/>
                <w14:ligatures w14:val="none"/>
              </w:rPr>
            </w:pPr>
            <w:r w:rsidRPr="00787183">
              <w:rPr>
                <w:rFonts w:ascii="Arial" w:eastAsia="Times New Roman" w:hAnsi="Arial" w:cs="Arial"/>
                <w:b/>
                <w:bCs/>
                <w:color w:val="000000"/>
                <w:kern w:val="0"/>
                <w:sz w:val="16"/>
                <w:szCs w:val="16"/>
                <w14:ligatures w14:val="none"/>
              </w:rPr>
              <w:t xml:space="preserve"> 154.858,48 </w:t>
            </w:r>
          </w:p>
        </w:tc>
        <w:tc>
          <w:tcPr>
            <w:tcW w:w="1000" w:type="dxa"/>
            <w:vAlign w:val="center"/>
            <w:hideMark/>
          </w:tcPr>
          <w:p w14:paraId="31A83EDB" w14:textId="77777777" w:rsidR="00787183" w:rsidRPr="00787183" w:rsidRDefault="00787183" w:rsidP="00787183">
            <w:pPr>
              <w:jc w:val="right"/>
              <w:rPr>
                <w:rFonts w:ascii="Arial" w:eastAsia="Times New Roman" w:hAnsi="Arial" w:cs="Arial"/>
                <w:b/>
                <w:bCs/>
                <w:color w:val="000000"/>
                <w:kern w:val="0"/>
                <w:sz w:val="16"/>
                <w:szCs w:val="16"/>
                <w14:ligatures w14:val="none"/>
              </w:rPr>
            </w:pPr>
            <w:r w:rsidRPr="00787183">
              <w:rPr>
                <w:rFonts w:ascii="Arial" w:eastAsia="Times New Roman" w:hAnsi="Arial" w:cs="Arial"/>
                <w:b/>
                <w:bCs/>
                <w:color w:val="000000"/>
                <w:kern w:val="0"/>
                <w:sz w:val="16"/>
                <w:szCs w:val="16"/>
                <w14:ligatures w14:val="none"/>
              </w:rPr>
              <w:t xml:space="preserve"> 500.190,31 </w:t>
            </w:r>
          </w:p>
        </w:tc>
        <w:tc>
          <w:tcPr>
            <w:tcW w:w="1000" w:type="dxa"/>
            <w:vAlign w:val="center"/>
            <w:hideMark/>
          </w:tcPr>
          <w:p w14:paraId="1E80254D" w14:textId="77777777" w:rsidR="00787183" w:rsidRPr="00787183" w:rsidRDefault="00787183" w:rsidP="00787183">
            <w:pPr>
              <w:jc w:val="right"/>
              <w:rPr>
                <w:rFonts w:ascii="Arial" w:eastAsia="Times New Roman" w:hAnsi="Arial" w:cs="Arial"/>
                <w:b/>
                <w:bCs/>
                <w:color w:val="000000"/>
                <w:kern w:val="0"/>
                <w:sz w:val="16"/>
                <w:szCs w:val="16"/>
                <w14:ligatures w14:val="none"/>
              </w:rPr>
            </w:pPr>
            <w:r w:rsidRPr="00787183">
              <w:rPr>
                <w:rFonts w:ascii="Arial" w:eastAsia="Times New Roman" w:hAnsi="Arial" w:cs="Arial"/>
                <w:b/>
                <w:bCs/>
                <w:color w:val="000000"/>
                <w:kern w:val="0"/>
                <w:sz w:val="16"/>
                <w:szCs w:val="16"/>
                <w14:ligatures w14:val="none"/>
              </w:rPr>
              <w:t xml:space="preserve"> 655.048,79 </w:t>
            </w:r>
          </w:p>
        </w:tc>
      </w:tr>
    </w:tbl>
    <w:p w14:paraId="23FA9C04" w14:textId="34BC7E16" w:rsidR="00BA3275" w:rsidRDefault="00000000">
      <w:pPr>
        <w:pStyle w:val="NormalWeb"/>
        <w:jc w:val="both"/>
      </w:pPr>
      <w:r>
        <w:rPr>
          <w:rFonts w:ascii="Arial" w:hAnsi="Arial" w:cs="Arial"/>
          <w:sz w:val="20"/>
          <w:szCs w:val="20"/>
        </w:rPr>
        <w:t xml:space="preserve">Segundo a assessoria jurídica do </w:t>
      </w:r>
      <w:r w:rsidR="00CF2DD0" w:rsidRPr="00CF2DD0">
        <w:rPr>
          <w:rFonts w:ascii="Arial" w:hAnsi="Arial" w:cs="Arial"/>
          <w:sz w:val="20"/>
          <w:szCs w:val="20"/>
        </w:rPr>
        <w:t>SICOOB CREDISG</w:t>
      </w:r>
      <w:r w:rsidR="00C01518">
        <w:rPr>
          <w:rFonts w:ascii="Arial" w:hAnsi="Arial" w:cs="Arial"/>
          <w:sz w:val="20"/>
          <w:szCs w:val="20"/>
        </w:rPr>
        <w:t>, em</w:t>
      </w:r>
      <w:r w:rsidR="00CF2DD0">
        <w:rPr>
          <w:rFonts w:ascii="Arial" w:hAnsi="Arial" w:cs="Arial"/>
          <w:sz w:val="20"/>
          <w:szCs w:val="20"/>
        </w:rPr>
        <w:t xml:space="preserve"> </w:t>
      </w:r>
      <w:r>
        <w:rPr>
          <w:rFonts w:ascii="Arial" w:hAnsi="Arial" w:cs="Arial"/>
          <w:sz w:val="20"/>
          <w:szCs w:val="20"/>
        </w:rPr>
        <w:t xml:space="preserve">30 de junho de 2025, existem processos judiciais nos quais a Cooperativa figura como polo passivo, os quais foram classificados com risco de perda possível, totalizando </w:t>
      </w:r>
      <w:r w:rsidRPr="00D85EE5">
        <w:rPr>
          <w:rFonts w:ascii="Arial" w:hAnsi="Arial" w:cs="Arial"/>
          <w:sz w:val="20"/>
          <w:szCs w:val="20"/>
        </w:rPr>
        <w:t xml:space="preserve">R$ </w:t>
      </w:r>
      <w:r w:rsidR="00F20A16" w:rsidRPr="00D85EE5">
        <w:rPr>
          <w:rFonts w:ascii="Arial" w:hAnsi="Arial" w:cs="Arial"/>
          <w:sz w:val="20"/>
          <w:szCs w:val="20"/>
        </w:rPr>
        <w:t>95.345,66</w:t>
      </w:r>
      <w:r w:rsidR="00F20A16">
        <w:rPr>
          <w:rFonts w:ascii="Arial" w:hAnsi="Arial" w:cs="Arial"/>
          <w:b/>
          <w:bCs/>
          <w:sz w:val="20"/>
          <w:szCs w:val="20"/>
        </w:rPr>
        <w:t xml:space="preserve">. </w:t>
      </w:r>
      <w:r>
        <w:rPr>
          <w:rFonts w:ascii="Arial" w:hAnsi="Arial" w:cs="Arial"/>
          <w:sz w:val="20"/>
          <w:szCs w:val="20"/>
        </w:rPr>
        <w:t>Essas ações abrangem, basicamente, processos trabalhistas ou cíveis.</w:t>
      </w:r>
    </w:p>
    <w:p w14:paraId="1299647D" w14:textId="77777777" w:rsidR="00BA3275" w:rsidRDefault="00000000">
      <w:pPr>
        <w:pStyle w:val="NormalWeb"/>
        <w:jc w:val="both"/>
      </w:pPr>
      <w:r>
        <w:rPr>
          <w:rFonts w:ascii="Arial" w:hAnsi="Arial" w:cs="Arial"/>
          <w:sz w:val="20"/>
          <w:szCs w:val="20"/>
        </w:rPr>
        <w:t>O cenário de imprevisibilidade do tempo de duração dos processos, bem como a possibilidade de alterações na jurisprudência dos tribunais, torna incertos os prazos ou os valores esperados de saída.</w:t>
      </w:r>
    </w:p>
    <w:p w14:paraId="2DE2914C" w14:textId="77777777" w:rsidR="00BA3275" w:rsidRDefault="00000000">
      <w:pPr>
        <w:pStyle w:val="NormalWeb"/>
      </w:pPr>
      <w:r>
        <w:rPr>
          <w:rFonts w:ascii="Arial" w:hAnsi="Arial" w:cs="Arial"/>
          <w:b/>
          <w:bCs/>
          <w:sz w:val="20"/>
          <w:szCs w:val="20"/>
        </w:rPr>
        <w:t xml:space="preserve">17. Patrimônio Líquido </w:t>
      </w:r>
    </w:p>
    <w:p w14:paraId="67ECCA3A" w14:textId="77777777" w:rsidR="00BA3275" w:rsidRDefault="00000000">
      <w:pPr>
        <w:pStyle w:val="NormalWeb"/>
      </w:pPr>
      <w:r>
        <w:rPr>
          <w:rFonts w:ascii="Arial" w:hAnsi="Arial" w:cs="Arial"/>
          <w:b/>
          <w:bCs/>
          <w:sz w:val="20"/>
          <w:szCs w:val="20"/>
        </w:rPr>
        <w:t>17.1 Capital Social</w:t>
      </w:r>
    </w:p>
    <w:p w14:paraId="02170710" w14:textId="77777777" w:rsidR="00BA3275" w:rsidRDefault="00000000">
      <w:pPr>
        <w:pStyle w:val="NormalWeb"/>
        <w:jc w:val="both"/>
      </w:pPr>
      <w:r>
        <w:rPr>
          <w:rFonts w:ascii="Arial" w:hAnsi="Arial" w:cs="Arial"/>
          <w:sz w:val="20"/>
          <w:szCs w:val="20"/>
        </w:rPr>
        <w:t>O capital social é representado por cotas-partes no valor nominal de R$ 1,00 (cada) e integralizado por seus Associados. De acordo com o Estatuto Social, cada cooperado tem direito a um voto, independentemente do número de suas cotas-partes.</w:t>
      </w:r>
    </w:p>
    <w:tbl>
      <w:tblPr>
        <w:tblW w:w="5000" w:type="pct"/>
        <w:tblCellMar>
          <w:left w:w="0" w:type="dxa"/>
          <w:right w:w="0" w:type="dxa"/>
        </w:tblCellMar>
        <w:tblLook w:val="04A0" w:firstRow="1" w:lastRow="0" w:firstColumn="1" w:lastColumn="0" w:noHBand="0" w:noVBand="1"/>
      </w:tblPr>
      <w:tblGrid>
        <w:gridCol w:w="4507"/>
        <w:gridCol w:w="5115"/>
      </w:tblGrid>
      <w:tr w:rsidR="00BA3275" w14:paraId="04B58C0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B91F0AA" w14:textId="77777777" w:rsidR="00BA3275"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8CA51EB"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13F4F1D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3C89791" w14:textId="77777777" w:rsidR="00BA3275" w:rsidRDefault="00000000">
            <w:pPr>
              <w:rPr>
                <w:rFonts w:eastAsia="Times New Roman"/>
              </w:rPr>
            </w:pPr>
            <w:r>
              <w:rPr>
                <w:rFonts w:ascii="Arial" w:eastAsia="Times New Roman" w:hAnsi="Arial" w:cs="Arial"/>
                <w:sz w:val="16"/>
                <w:szCs w:val="16"/>
              </w:rPr>
              <w:t>Capital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16B7F07" w14:textId="77777777" w:rsidR="00BA3275" w:rsidRDefault="00000000">
            <w:pPr>
              <w:jc w:val="right"/>
              <w:rPr>
                <w:rFonts w:eastAsia="Times New Roman"/>
              </w:rPr>
            </w:pPr>
            <w:r>
              <w:rPr>
                <w:rFonts w:ascii="Arial" w:eastAsia="Times New Roman" w:hAnsi="Arial" w:cs="Arial"/>
                <w:sz w:val="16"/>
                <w:szCs w:val="16"/>
              </w:rPr>
              <w:t>134.210.076,40</w:t>
            </w:r>
          </w:p>
        </w:tc>
      </w:tr>
      <w:tr w:rsidR="00BA3275" w14:paraId="732FD70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6EF2EE2" w14:textId="77777777" w:rsidR="00BA3275" w:rsidRDefault="00000000">
            <w:pPr>
              <w:rPr>
                <w:rFonts w:eastAsia="Times New Roman"/>
              </w:rPr>
            </w:pPr>
            <w:r>
              <w:rPr>
                <w:rFonts w:ascii="Arial" w:eastAsia="Times New Roman" w:hAnsi="Arial" w:cs="Arial"/>
                <w:sz w:val="16"/>
                <w:szCs w:val="16"/>
              </w:rPr>
              <w:t>Associados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0E66EA8" w14:textId="77777777" w:rsidR="00BA3275" w:rsidRDefault="00000000">
            <w:pPr>
              <w:jc w:val="right"/>
              <w:rPr>
                <w:rFonts w:eastAsia="Times New Roman"/>
              </w:rPr>
            </w:pPr>
            <w:r>
              <w:rPr>
                <w:rFonts w:ascii="Arial" w:eastAsia="Times New Roman" w:hAnsi="Arial" w:cs="Arial"/>
                <w:sz w:val="16"/>
                <w:szCs w:val="16"/>
              </w:rPr>
              <w:t>9.437</w:t>
            </w:r>
          </w:p>
        </w:tc>
      </w:tr>
    </w:tbl>
    <w:p w14:paraId="30ACD841" w14:textId="77777777" w:rsidR="00BA3275" w:rsidRDefault="00000000">
      <w:pPr>
        <w:pStyle w:val="NormalWeb"/>
      </w:pPr>
      <w:r>
        <w:rPr>
          <w:rFonts w:ascii="Arial" w:hAnsi="Arial" w:cs="Arial"/>
          <w:b/>
          <w:bCs/>
          <w:sz w:val="20"/>
          <w:szCs w:val="20"/>
        </w:rPr>
        <w:t xml:space="preserve">17.2 Fundo de Reserva Legal </w:t>
      </w:r>
    </w:p>
    <w:p w14:paraId="71F10D6D" w14:textId="77777777" w:rsidR="00BA3275" w:rsidRDefault="00000000">
      <w:pPr>
        <w:pStyle w:val="NormalWeb"/>
        <w:jc w:val="both"/>
      </w:pPr>
      <w:r>
        <w:rPr>
          <w:rFonts w:ascii="Arial" w:hAnsi="Arial" w:cs="Arial"/>
          <w:sz w:val="20"/>
          <w:szCs w:val="20"/>
        </w:rPr>
        <w:t>Representado pelas destinações das sobras definidas em Estatuto Social, utilizado para reparar perdas e atender ao desenvolvimento de suas atividades.</w:t>
      </w:r>
    </w:p>
    <w:p w14:paraId="6EA127FA" w14:textId="7F5C2CE3" w:rsidR="00BA3275" w:rsidRPr="000456E3" w:rsidRDefault="00000000" w:rsidP="000456E3">
      <w:pPr>
        <w:jc w:val="both"/>
        <w:rPr>
          <w:rFonts w:ascii="Arial" w:eastAsia="Times New Roman" w:hAnsi="Arial" w:cs="Arial"/>
          <w:b/>
          <w:bCs/>
          <w:color w:val="000000"/>
          <w:kern w:val="0"/>
          <w:sz w:val="20"/>
          <w:szCs w:val="20"/>
          <w14:ligatures w14:val="none"/>
        </w:rPr>
      </w:pPr>
      <w:r>
        <w:rPr>
          <w:rFonts w:ascii="Arial" w:hAnsi="Arial" w:cs="Arial"/>
          <w:sz w:val="20"/>
          <w:szCs w:val="20"/>
        </w:rPr>
        <w:t xml:space="preserve">No período de 30 de junho de 2025 os saldos de capital, de remuneração de capital ou de sobras a pagar não procurados pelos associados demitidos, eliminados ou excluídos após decorridos 5 (cinco) anos da demissão, da eliminação ou da exclusão </w:t>
      </w:r>
      <w:r w:rsidRPr="000456E3">
        <w:rPr>
          <w:rFonts w:ascii="Arial" w:hAnsi="Arial" w:cs="Arial"/>
          <w:sz w:val="20"/>
          <w:szCs w:val="20"/>
        </w:rPr>
        <w:t xml:space="preserve">foram revertidos ao fundo de reserva da cooperativa, conforme Lei Complementar nº 196/2022, totalizando R$ </w:t>
      </w:r>
      <w:r w:rsidR="000456E3" w:rsidRPr="000456E3">
        <w:rPr>
          <w:rFonts w:ascii="Arial" w:eastAsia="Times New Roman" w:hAnsi="Arial" w:cs="Arial"/>
          <w:color w:val="000000"/>
          <w:kern w:val="0"/>
          <w:sz w:val="20"/>
          <w:szCs w:val="20"/>
          <w14:ligatures w14:val="none"/>
        </w:rPr>
        <w:t>10.454,10.</w:t>
      </w:r>
    </w:p>
    <w:p w14:paraId="37879343" w14:textId="77777777" w:rsidR="00BA3275" w:rsidRDefault="00000000">
      <w:pPr>
        <w:pStyle w:val="NormalWeb"/>
        <w:jc w:val="both"/>
      </w:pPr>
      <w:r>
        <w:rPr>
          <w:rFonts w:ascii="Arial" w:hAnsi="Arial" w:cs="Arial"/>
          <w:sz w:val="20"/>
          <w:szCs w:val="20"/>
        </w:rPr>
        <w:lastRenderedPageBreak/>
        <w:t>Essa movimentação está evidenciada na DMPL na linha de "Outros Eventos/Reservas".</w:t>
      </w:r>
    </w:p>
    <w:p w14:paraId="5D8D8EBA" w14:textId="40C773AE" w:rsidR="00BA3275" w:rsidRDefault="00000000">
      <w:pPr>
        <w:pStyle w:val="NormalWeb"/>
      </w:pPr>
      <w:r>
        <w:rPr>
          <w:rFonts w:ascii="Arial" w:hAnsi="Arial" w:cs="Arial"/>
          <w:b/>
          <w:bCs/>
          <w:sz w:val="20"/>
          <w:szCs w:val="20"/>
        </w:rPr>
        <w:t>17.</w:t>
      </w:r>
      <w:r w:rsidR="004928D8">
        <w:rPr>
          <w:rFonts w:ascii="Arial" w:hAnsi="Arial" w:cs="Arial"/>
          <w:b/>
          <w:bCs/>
          <w:sz w:val="20"/>
          <w:szCs w:val="20"/>
        </w:rPr>
        <w:t>3</w:t>
      </w:r>
      <w:r>
        <w:rPr>
          <w:rFonts w:ascii="Arial" w:hAnsi="Arial" w:cs="Arial"/>
          <w:b/>
          <w:bCs/>
          <w:sz w:val="20"/>
          <w:szCs w:val="20"/>
        </w:rPr>
        <w:t xml:space="preserve"> Sobras Acumuladas</w:t>
      </w:r>
    </w:p>
    <w:p w14:paraId="1AA96238" w14:textId="77777777" w:rsidR="00BA3275" w:rsidRDefault="00000000">
      <w:pPr>
        <w:pStyle w:val="NormalWeb"/>
        <w:jc w:val="both"/>
      </w:pPr>
      <w:r>
        <w:rPr>
          <w:rFonts w:ascii="Arial" w:hAnsi="Arial" w:cs="Arial"/>
          <w:sz w:val="20"/>
          <w:szCs w:val="20"/>
        </w:rPr>
        <w:t>As sobras são distribuídas e apropriadas conforme Estatuto Social, normas do Banco Central do Brasil e posterior deliberação da Assembleia Geral Ordinária (AGO). Atendendo à instrução do CMN, por meio da Resolução nº 4.872/2020, o Fundo de Assistência Técnica, Educacional e Social – FATES é registrado como exigibilidade e utilizado em despesas para as quais se destina, conforme a Lei nº 5.764/1971.</w:t>
      </w:r>
    </w:p>
    <w:p w14:paraId="6F29C05A" w14:textId="41F0F8C9" w:rsidR="00BA3275" w:rsidRDefault="00000000">
      <w:pPr>
        <w:pStyle w:val="NormalWeb"/>
        <w:jc w:val="both"/>
      </w:pPr>
      <w:r>
        <w:rPr>
          <w:rFonts w:ascii="Arial" w:hAnsi="Arial" w:cs="Arial"/>
          <w:sz w:val="20"/>
          <w:szCs w:val="20"/>
        </w:rPr>
        <w:t xml:space="preserve">Na Assembleia Geral Ordinária, realizada em </w:t>
      </w:r>
      <w:r w:rsidR="00582B9A">
        <w:rPr>
          <w:rFonts w:ascii="Arial" w:hAnsi="Arial" w:cs="Arial"/>
          <w:sz w:val="20"/>
          <w:szCs w:val="20"/>
        </w:rPr>
        <w:t>17</w:t>
      </w:r>
      <w:r w:rsidR="00C01518">
        <w:rPr>
          <w:rFonts w:ascii="Arial" w:hAnsi="Arial" w:cs="Arial"/>
          <w:sz w:val="20"/>
          <w:szCs w:val="20"/>
        </w:rPr>
        <w:t>/03/2025</w:t>
      </w:r>
      <w:r>
        <w:rPr>
          <w:rFonts w:ascii="Arial" w:hAnsi="Arial" w:cs="Arial"/>
          <w:sz w:val="20"/>
          <w:szCs w:val="20"/>
        </w:rPr>
        <w:t xml:space="preserve"> em conformidade com o artigo 132 da Lei nº 6.404/1976, os cooperados deliberaram pela destinação das sobras do exercício findo em 31 de dezembro de 2024 da seguinte forma:</w:t>
      </w:r>
    </w:p>
    <w:p w14:paraId="3CE3738C" w14:textId="7CE63952" w:rsidR="00BA3275" w:rsidRDefault="00000000">
      <w:pPr>
        <w:pStyle w:val="NormalWeb"/>
        <w:jc w:val="both"/>
      </w:pPr>
      <w:r>
        <w:rPr>
          <w:rFonts w:ascii="Arial" w:hAnsi="Arial" w:cs="Arial"/>
          <w:sz w:val="20"/>
          <w:szCs w:val="20"/>
        </w:rPr>
        <w:t xml:space="preserve">• Conta Capital, no valor de R$ </w:t>
      </w:r>
      <w:r w:rsidR="00582B9A">
        <w:rPr>
          <w:rFonts w:ascii="Arial" w:hAnsi="Arial" w:cs="Arial"/>
          <w:sz w:val="20"/>
          <w:szCs w:val="20"/>
        </w:rPr>
        <w:t>16.000.000,00;</w:t>
      </w:r>
    </w:p>
    <w:p w14:paraId="7CD48C09" w14:textId="664DA219" w:rsidR="00BA3275" w:rsidRDefault="00000000">
      <w:pPr>
        <w:pStyle w:val="NormalWeb"/>
        <w:jc w:val="both"/>
      </w:pPr>
      <w:r>
        <w:rPr>
          <w:rFonts w:ascii="Arial" w:hAnsi="Arial" w:cs="Arial"/>
          <w:sz w:val="20"/>
          <w:szCs w:val="20"/>
        </w:rPr>
        <w:t xml:space="preserve">• </w:t>
      </w:r>
      <w:r w:rsidR="00582B9A">
        <w:rPr>
          <w:rFonts w:ascii="Arial" w:hAnsi="Arial" w:cs="Arial"/>
          <w:sz w:val="20"/>
          <w:szCs w:val="20"/>
        </w:rPr>
        <w:t>FATES</w:t>
      </w:r>
      <w:r>
        <w:rPr>
          <w:rFonts w:ascii="Arial" w:hAnsi="Arial" w:cs="Arial"/>
          <w:sz w:val="20"/>
          <w:szCs w:val="20"/>
        </w:rPr>
        <w:t xml:space="preserve">, no valor de R$ </w:t>
      </w:r>
      <w:r w:rsidR="00582B9A" w:rsidRPr="00582B9A">
        <w:rPr>
          <w:rFonts w:ascii="Arial" w:hAnsi="Arial" w:cs="Arial"/>
          <w:sz w:val="20"/>
          <w:szCs w:val="20"/>
        </w:rPr>
        <w:t>184.800,33</w:t>
      </w:r>
      <w:r w:rsidR="00582B9A">
        <w:rPr>
          <w:rFonts w:ascii="Arial" w:hAnsi="Arial" w:cs="Arial"/>
          <w:sz w:val="20"/>
          <w:szCs w:val="20"/>
        </w:rPr>
        <w:t>.</w:t>
      </w:r>
    </w:p>
    <w:p w14:paraId="71C68057" w14:textId="7EAAEF6C" w:rsidR="00BA3275" w:rsidRDefault="00000000">
      <w:pPr>
        <w:pStyle w:val="NormalWeb"/>
      </w:pPr>
      <w:r>
        <w:rPr>
          <w:rFonts w:ascii="Arial" w:hAnsi="Arial" w:cs="Arial"/>
          <w:b/>
          <w:bCs/>
          <w:sz w:val="20"/>
          <w:szCs w:val="20"/>
        </w:rPr>
        <w:t>17.</w:t>
      </w:r>
      <w:r w:rsidR="004928D8">
        <w:rPr>
          <w:rFonts w:ascii="Arial" w:hAnsi="Arial" w:cs="Arial"/>
          <w:b/>
          <w:bCs/>
          <w:sz w:val="20"/>
          <w:szCs w:val="20"/>
        </w:rPr>
        <w:t xml:space="preserve">4 </w:t>
      </w:r>
      <w:r>
        <w:rPr>
          <w:rFonts w:ascii="Arial" w:hAnsi="Arial" w:cs="Arial"/>
          <w:b/>
          <w:bCs/>
          <w:sz w:val="20"/>
          <w:szCs w:val="20"/>
        </w:rPr>
        <w:t xml:space="preserve">Juros ao Capital Próprio </w:t>
      </w:r>
    </w:p>
    <w:p w14:paraId="7230775D" w14:textId="180EE42A" w:rsidR="004928D8" w:rsidRPr="004928D8" w:rsidRDefault="004928D8" w:rsidP="004928D8">
      <w:pPr>
        <w:pStyle w:val="NormalWeb"/>
        <w:jc w:val="both"/>
        <w:rPr>
          <w:rFonts w:ascii="Arial" w:hAnsi="Arial" w:cs="Arial"/>
          <w:sz w:val="20"/>
          <w:szCs w:val="20"/>
        </w:rPr>
      </w:pPr>
      <w:r w:rsidRPr="004928D8">
        <w:rPr>
          <w:rFonts w:ascii="Arial" w:hAnsi="Arial" w:cs="Arial"/>
          <w:sz w:val="20"/>
          <w:szCs w:val="20"/>
        </w:rPr>
        <w:t>A Cooperativa provisionou juros ao capital próprio ao associado, no percentual de 100% da taxa Selic no período de 30/06/2025, no montante de R$ 8</w:t>
      </w:r>
      <w:r>
        <w:rPr>
          <w:rFonts w:ascii="Arial" w:hAnsi="Arial" w:cs="Arial"/>
          <w:sz w:val="20"/>
          <w:szCs w:val="20"/>
        </w:rPr>
        <w:t>.</w:t>
      </w:r>
      <w:r w:rsidRPr="004928D8">
        <w:rPr>
          <w:rFonts w:ascii="Arial" w:hAnsi="Arial" w:cs="Arial"/>
          <w:sz w:val="20"/>
          <w:szCs w:val="20"/>
        </w:rPr>
        <w:t>272</w:t>
      </w:r>
      <w:r>
        <w:rPr>
          <w:rFonts w:ascii="Arial" w:hAnsi="Arial" w:cs="Arial"/>
          <w:sz w:val="20"/>
          <w:szCs w:val="20"/>
        </w:rPr>
        <w:t>.</w:t>
      </w:r>
      <w:r w:rsidRPr="004928D8">
        <w:rPr>
          <w:rFonts w:ascii="Arial" w:hAnsi="Arial" w:cs="Arial"/>
          <w:sz w:val="20"/>
          <w:szCs w:val="20"/>
        </w:rPr>
        <w:t xml:space="preserve">435,18. Os critérios para a remuneração obedeceram à Lei Complementar 130, artigo 7º, de 17 de abril de 2009, e seu registro foi realizado conforme Resolução CMN nº 4.872/2020, limitado a 100% da taxa referencial Selic. </w:t>
      </w:r>
    </w:p>
    <w:p w14:paraId="31631225" w14:textId="77777777" w:rsidR="00BA3275" w:rsidRPr="004928D8" w:rsidRDefault="00000000" w:rsidP="004928D8">
      <w:pPr>
        <w:pStyle w:val="NormalWeb"/>
        <w:jc w:val="both"/>
        <w:rPr>
          <w:rFonts w:ascii="Arial" w:hAnsi="Arial" w:cs="Arial"/>
          <w:b/>
          <w:bCs/>
          <w:sz w:val="20"/>
          <w:szCs w:val="20"/>
        </w:rPr>
      </w:pPr>
      <w:r w:rsidRPr="004928D8">
        <w:rPr>
          <w:rFonts w:ascii="Arial" w:hAnsi="Arial" w:cs="Arial"/>
          <w:b/>
          <w:bCs/>
          <w:sz w:val="20"/>
          <w:szCs w:val="20"/>
        </w:rPr>
        <w:t>18. Receitas da Intermediação Financeira</w:t>
      </w:r>
    </w:p>
    <w:p w14:paraId="40BBEA8F" w14:textId="77777777" w:rsidR="00BA3275" w:rsidRDefault="00000000">
      <w:pPr>
        <w:pStyle w:val="NormalWeb"/>
      </w:pPr>
      <w:r>
        <w:rPr>
          <w:rFonts w:ascii="Arial" w:hAnsi="Arial" w:cs="Arial"/>
          <w:b/>
          <w:bCs/>
          <w:sz w:val="20"/>
          <w:szCs w:val="20"/>
        </w:rPr>
        <w:t xml:space="preserve">18.1 Receitas de Operações de Crédito </w:t>
      </w:r>
    </w:p>
    <w:tbl>
      <w:tblPr>
        <w:tblW w:w="5000" w:type="pct"/>
        <w:tblCellMar>
          <w:left w:w="0" w:type="dxa"/>
          <w:right w:w="0" w:type="dxa"/>
        </w:tblCellMar>
        <w:tblLook w:val="04A0" w:firstRow="1" w:lastRow="0" w:firstColumn="1" w:lastColumn="0" w:noHBand="0" w:noVBand="1"/>
      </w:tblPr>
      <w:tblGrid>
        <w:gridCol w:w="8195"/>
        <w:gridCol w:w="1427"/>
      </w:tblGrid>
      <w:tr w:rsidR="00BA3275" w14:paraId="35596B3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42256FB" w14:textId="77777777" w:rsidR="00BA3275"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F854B"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16E49C8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273A03C" w14:textId="77777777" w:rsidR="00BA3275" w:rsidRDefault="00000000">
            <w:pPr>
              <w:rPr>
                <w:rFonts w:eastAsia="Times New Roman"/>
              </w:rPr>
            </w:pPr>
            <w:r>
              <w:rPr>
                <w:rFonts w:ascii="Arial" w:eastAsia="Times New Roman" w:hAnsi="Arial" w:cs="Arial"/>
                <w:sz w:val="16"/>
                <w:szCs w:val="16"/>
              </w:rPr>
              <w:t>Rendas de Adiantamentos a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D6E38E" w14:textId="77777777" w:rsidR="00BA3275" w:rsidRDefault="00000000">
            <w:pPr>
              <w:jc w:val="right"/>
              <w:rPr>
                <w:rFonts w:eastAsia="Times New Roman"/>
              </w:rPr>
            </w:pPr>
            <w:r>
              <w:rPr>
                <w:rFonts w:ascii="Arial" w:eastAsia="Times New Roman" w:hAnsi="Arial" w:cs="Arial"/>
                <w:sz w:val="16"/>
                <w:szCs w:val="16"/>
              </w:rPr>
              <w:t>56.210,72</w:t>
            </w:r>
          </w:p>
        </w:tc>
      </w:tr>
      <w:tr w:rsidR="00BA3275" w14:paraId="52F598E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B567828" w14:textId="77777777" w:rsidR="00BA3275" w:rsidRDefault="00000000">
            <w:pPr>
              <w:rPr>
                <w:rFonts w:eastAsia="Times New Roman"/>
              </w:rPr>
            </w:pPr>
            <w:r>
              <w:rPr>
                <w:rFonts w:ascii="Arial" w:eastAsia="Times New Roman" w:hAnsi="Arial" w:cs="Arial"/>
                <w:sz w:val="16"/>
                <w:szCs w:val="16"/>
              </w:rPr>
              <w:t>Rendas de 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C7372" w14:textId="77777777" w:rsidR="00BA3275" w:rsidRDefault="00000000">
            <w:pPr>
              <w:jc w:val="right"/>
              <w:rPr>
                <w:rFonts w:eastAsia="Times New Roman"/>
              </w:rPr>
            </w:pPr>
            <w:r>
              <w:rPr>
                <w:rFonts w:ascii="Arial" w:eastAsia="Times New Roman" w:hAnsi="Arial" w:cs="Arial"/>
                <w:sz w:val="16"/>
                <w:szCs w:val="16"/>
              </w:rPr>
              <w:t>10.927.520,97</w:t>
            </w:r>
          </w:p>
        </w:tc>
      </w:tr>
      <w:tr w:rsidR="00BA3275" w14:paraId="2214C36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2F6DFFB" w14:textId="77777777" w:rsidR="00BA3275" w:rsidRDefault="00000000">
            <w:pPr>
              <w:rPr>
                <w:rFonts w:eastAsia="Times New Roman"/>
              </w:rPr>
            </w:pPr>
            <w:r>
              <w:rPr>
                <w:rFonts w:ascii="Arial" w:eastAsia="Times New Roman" w:hAnsi="Arial" w:cs="Arial"/>
                <w:sz w:val="16"/>
                <w:szCs w:val="16"/>
              </w:rPr>
              <w:t>Rendas de 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FB7DC5" w14:textId="77777777" w:rsidR="00BA3275" w:rsidRDefault="00000000">
            <w:pPr>
              <w:jc w:val="right"/>
              <w:rPr>
                <w:rFonts w:eastAsia="Times New Roman"/>
              </w:rPr>
            </w:pPr>
            <w:r>
              <w:rPr>
                <w:rFonts w:ascii="Arial" w:eastAsia="Times New Roman" w:hAnsi="Arial" w:cs="Arial"/>
                <w:sz w:val="16"/>
                <w:szCs w:val="16"/>
              </w:rPr>
              <w:t>1.395.918,80</w:t>
            </w:r>
          </w:p>
        </w:tc>
      </w:tr>
      <w:tr w:rsidR="00BA3275" w14:paraId="6DE5680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198781F" w14:textId="77777777" w:rsidR="00BA3275" w:rsidRDefault="00000000">
            <w:pPr>
              <w:rPr>
                <w:rFonts w:eastAsia="Times New Roman"/>
              </w:rPr>
            </w:pPr>
            <w:r>
              <w:rPr>
                <w:rFonts w:ascii="Arial" w:eastAsia="Times New Roman" w:hAnsi="Arial" w:cs="Arial"/>
                <w:sz w:val="16"/>
                <w:szCs w:val="16"/>
              </w:rPr>
              <w:t>Rendas de 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44F7DC" w14:textId="77777777" w:rsidR="00BA3275" w:rsidRDefault="00000000">
            <w:pPr>
              <w:jc w:val="right"/>
              <w:rPr>
                <w:rFonts w:eastAsia="Times New Roman"/>
              </w:rPr>
            </w:pPr>
            <w:r>
              <w:rPr>
                <w:rFonts w:ascii="Arial" w:eastAsia="Times New Roman" w:hAnsi="Arial" w:cs="Arial"/>
                <w:sz w:val="16"/>
                <w:szCs w:val="16"/>
              </w:rPr>
              <w:t>6.523.564,06</w:t>
            </w:r>
          </w:p>
        </w:tc>
      </w:tr>
      <w:tr w:rsidR="00BA3275" w14:paraId="2A48D00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4D565E2" w14:textId="77777777" w:rsidR="00BA3275" w:rsidRDefault="00000000">
            <w:pPr>
              <w:rPr>
                <w:rFonts w:eastAsia="Times New Roman"/>
              </w:rPr>
            </w:pPr>
            <w:r>
              <w:rPr>
                <w:rFonts w:ascii="Arial" w:eastAsia="Times New Roman" w:hAnsi="Arial" w:cs="Arial"/>
                <w:sz w:val="16"/>
                <w:szCs w:val="16"/>
              </w:rPr>
              <w:t>Rendas de Financiamentos Rurais - Recursos Livres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9B25A8E" w14:textId="77777777" w:rsidR="00BA3275" w:rsidRDefault="00000000">
            <w:pPr>
              <w:jc w:val="right"/>
              <w:rPr>
                <w:rFonts w:eastAsia="Times New Roman"/>
              </w:rPr>
            </w:pPr>
            <w:r>
              <w:rPr>
                <w:rFonts w:ascii="Arial" w:eastAsia="Times New Roman" w:hAnsi="Arial" w:cs="Arial"/>
                <w:sz w:val="16"/>
                <w:szCs w:val="16"/>
              </w:rPr>
              <w:t>3.206.963,64</w:t>
            </w:r>
          </w:p>
        </w:tc>
      </w:tr>
      <w:tr w:rsidR="00BA3275" w14:paraId="59336B9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6627417" w14:textId="77777777" w:rsidR="00BA3275" w:rsidRDefault="00000000">
            <w:pPr>
              <w:rPr>
                <w:rFonts w:eastAsia="Times New Roman"/>
              </w:rPr>
            </w:pPr>
            <w:r>
              <w:rPr>
                <w:rFonts w:ascii="Arial" w:eastAsia="Times New Roman" w:hAnsi="Arial" w:cs="Arial"/>
                <w:sz w:val="16"/>
                <w:szCs w:val="16"/>
              </w:rPr>
              <w:t>Rendas de Financiamentos Rurais - Recursos Direcionados à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A0C6960" w14:textId="77777777" w:rsidR="00BA3275" w:rsidRDefault="00000000">
            <w:pPr>
              <w:jc w:val="right"/>
              <w:rPr>
                <w:rFonts w:eastAsia="Times New Roman"/>
              </w:rPr>
            </w:pPr>
            <w:r>
              <w:rPr>
                <w:rFonts w:ascii="Arial" w:eastAsia="Times New Roman" w:hAnsi="Arial" w:cs="Arial"/>
                <w:sz w:val="16"/>
                <w:szCs w:val="16"/>
              </w:rPr>
              <w:t>5.419.867,81</w:t>
            </w:r>
          </w:p>
        </w:tc>
      </w:tr>
      <w:tr w:rsidR="00BA3275" w14:paraId="09B376F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4B3EA15" w14:textId="77777777" w:rsidR="00BA3275" w:rsidRDefault="00000000">
            <w:pPr>
              <w:rPr>
                <w:rFonts w:eastAsia="Times New Roman"/>
              </w:rPr>
            </w:pPr>
            <w:r>
              <w:rPr>
                <w:rFonts w:ascii="Arial" w:eastAsia="Times New Roman" w:hAnsi="Arial" w:cs="Arial"/>
                <w:sz w:val="16"/>
                <w:szCs w:val="16"/>
              </w:rPr>
              <w:t>Rendas de Financiamentos Rurais - Recursos Direcionados da Poupança Rural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527FA20" w14:textId="77777777" w:rsidR="00BA3275" w:rsidRDefault="00000000">
            <w:pPr>
              <w:jc w:val="right"/>
              <w:rPr>
                <w:rFonts w:eastAsia="Times New Roman"/>
              </w:rPr>
            </w:pPr>
            <w:r>
              <w:rPr>
                <w:rFonts w:ascii="Arial" w:eastAsia="Times New Roman" w:hAnsi="Arial" w:cs="Arial"/>
                <w:sz w:val="16"/>
                <w:szCs w:val="16"/>
              </w:rPr>
              <w:t>2.958.307,95</w:t>
            </w:r>
          </w:p>
        </w:tc>
      </w:tr>
      <w:tr w:rsidR="00BA3275" w14:paraId="3002578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4E6C2CF" w14:textId="77777777" w:rsidR="00BA3275" w:rsidRDefault="00000000">
            <w:pPr>
              <w:rPr>
                <w:rFonts w:eastAsia="Times New Roman"/>
              </w:rPr>
            </w:pPr>
            <w:r>
              <w:rPr>
                <w:rFonts w:ascii="Arial" w:eastAsia="Times New Roman" w:hAnsi="Arial" w:cs="Arial"/>
                <w:sz w:val="16"/>
                <w:szCs w:val="16"/>
              </w:rPr>
              <w:t>Rendas de Financiamentos Rurais - Recursos Direcionados de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63CC4F12" w14:textId="77777777" w:rsidR="00BA3275" w:rsidRDefault="00000000">
            <w:pPr>
              <w:jc w:val="right"/>
              <w:rPr>
                <w:rFonts w:eastAsia="Times New Roman"/>
              </w:rPr>
            </w:pPr>
            <w:r>
              <w:rPr>
                <w:rFonts w:ascii="Arial" w:eastAsia="Times New Roman" w:hAnsi="Arial" w:cs="Arial"/>
                <w:sz w:val="16"/>
                <w:szCs w:val="16"/>
              </w:rPr>
              <w:t>5.381.433,86</w:t>
            </w:r>
          </w:p>
        </w:tc>
      </w:tr>
      <w:tr w:rsidR="00BA3275" w14:paraId="76AC21C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4E3D444" w14:textId="77777777" w:rsidR="00BA3275" w:rsidRDefault="00000000">
            <w:pPr>
              <w:rPr>
                <w:rFonts w:eastAsia="Times New Roman"/>
              </w:rPr>
            </w:pPr>
            <w:r>
              <w:rPr>
                <w:rFonts w:ascii="Arial" w:eastAsia="Times New Roman" w:hAnsi="Arial" w:cs="Arial"/>
                <w:sz w:val="16"/>
                <w:szCs w:val="16"/>
              </w:rPr>
              <w:t>Rendas de Financiamentos Rurais - Recursos de Fontes Públicas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531DD5" w14:textId="77777777" w:rsidR="00BA3275" w:rsidRDefault="00000000">
            <w:pPr>
              <w:jc w:val="right"/>
              <w:rPr>
                <w:rFonts w:eastAsia="Times New Roman"/>
              </w:rPr>
            </w:pPr>
            <w:r>
              <w:rPr>
                <w:rFonts w:ascii="Arial" w:eastAsia="Times New Roman" w:hAnsi="Arial" w:cs="Arial"/>
                <w:sz w:val="16"/>
                <w:szCs w:val="16"/>
              </w:rPr>
              <w:t>115.788,22</w:t>
            </w:r>
          </w:p>
        </w:tc>
      </w:tr>
      <w:tr w:rsidR="00BA3275" w14:paraId="390B9A5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498F8B5" w14:textId="77777777" w:rsidR="00BA3275" w:rsidRDefault="00000000">
            <w:pPr>
              <w:rPr>
                <w:rFonts w:eastAsia="Times New Roman"/>
              </w:rPr>
            </w:pPr>
            <w:r>
              <w:rPr>
                <w:rFonts w:ascii="Arial" w:eastAsia="Times New Roman" w:hAnsi="Arial" w:cs="Arial"/>
                <w:sz w:val="16"/>
                <w:szCs w:val="16"/>
              </w:rPr>
              <w:t>Rendas de Créditos por Avais e Fianças Honrados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8A05C1" w14:textId="77777777" w:rsidR="00BA3275" w:rsidRDefault="00000000">
            <w:pPr>
              <w:jc w:val="right"/>
              <w:rPr>
                <w:rFonts w:eastAsia="Times New Roman"/>
              </w:rPr>
            </w:pPr>
            <w:r>
              <w:rPr>
                <w:rFonts w:ascii="Arial" w:eastAsia="Times New Roman" w:hAnsi="Arial" w:cs="Arial"/>
                <w:sz w:val="16"/>
                <w:szCs w:val="16"/>
              </w:rPr>
              <w:t>8.642,65</w:t>
            </w:r>
          </w:p>
        </w:tc>
      </w:tr>
      <w:tr w:rsidR="00BA3275" w14:paraId="70DBE77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D2C3A7F" w14:textId="77777777" w:rsidR="00BA3275" w:rsidRDefault="00000000">
            <w:pPr>
              <w:rPr>
                <w:rFonts w:eastAsia="Times New Roman"/>
              </w:rPr>
            </w:pPr>
            <w:r>
              <w:rPr>
                <w:rFonts w:ascii="Arial" w:eastAsia="Times New Roman" w:hAnsi="Arial" w:cs="Arial"/>
                <w:sz w:val="16"/>
                <w:szCs w:val="16"/>
              </w:rPr>
              <w:t>Recuperação de Créditos Baixados como Prejuízo</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CD387" w14:textId="77777777" w:rsidR="00BA3275" w:rsidRDefault="00000000">
            <w:pPr>
              <w:jc w:val="right"/>
              <w:rPr>
                <w:rFonts w:eastAsia="Times New Roman"/>
              </w:rPr>
            </w:pPr>
            <w:r>
              <w:rPr>
                <w:rFonts w:ascii="Arial" w:eastAsia="Times New Roman" w:hAnsi="Arial" w:cs="Arial"/>
                <w:sz w:val="16"/>
                <w:szCs w:val="16"/>
              </w:rPr>
              <w:t>413.293,60</w:t>
            </w:r>
          </w:p>
        </w:tc>
      </w:tr>
      <w:tr w:rsidR="00BA3275" w14:paraId="164E16C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F4C9395" w14:textId="77777777" w:rsidR="00BA3275" w:rsidRDefault="00000000">
            <w:pPr>
              <w:rPr>
                <w:rFonts w:eastAsia="Times New Roman"/>
              </w:rPr>
            </w:pPr>
            <w:r>
              <w:rPr>
                <w:rFonts w:ascii="Arial" w:eastAsia="Times New Roman" w:hAnsi="Arial" w:cs="Arial"/>
                <w:sz w:val="16"/>
                <w:szCs w:val="16"/>
              </w:rPr>
              <w:t>Rendas de Títulos com Características de Concessão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7C687A1" w14:textId="77777777" w:rsidR="00BA3275" w:rsidRDefault="00000000">
            <w:pPr>
              <w:jc w:val="right"/>
              <w:rPr>
                <w:rFonts w:eastAsia="Times New Roman"/>
              </w:rPr>
            </w:pPr>
            <w:r>
              <w:rPr>
                <w:rFonts w:ascii="Arial" w:eastAsia="Times New Roman" w:hAnsi="Arial" w:cs="Arial"/>
                <w:sz w:val="16"/>
                <w:szCs w:val="16"/>
              </w:rPr>
              <w:t>4.961.258,41</w:t>
            </w:r>
          </w:p>
        </w:tc>
      </w:tr>
      <w:tr w:rsidR="00BA3275" w14:paraId="0E8DF57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CCCFB0E" w14:textId="77777777" w:rsidR="00BA3275" w:rsidRDefault="00000000">
            <w:pPr>
              <w:rPr>
                <w:rFonts w:eastAsia="Times New Roman"/>
              </w:rPr>
            </w:pPr>
            <w:r>
              <w:rPr>
                <w:rFonts w:ascii="Arial" w:eastAsia="Times New Roman" w:hAnsi="Arial" w:cs="Arial"/>
                <w:sz w:val="16"/>
                <w:szCs w:val="16"/>
              </w:rPr>
              <w:t>(-) Operações de Crédito - Despesas de Descontos Concedidos em Renegociações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82059" w14:textId="77777777" w:rsidR="00BA3275" w:rsidRDefault="00000000">
            <w:pPr>
              <w:jc w:val="right"/>
              <w:rPr>
                <w:rFonts w:eastAsia="Times New Roman"/>
              </w:rPr>
            </w:pPr>
            <w:r>
              <w:rPr>
                <w:rFonts w:ascii="Arial" w:eastAsia="Times New Roman" w:hAnsi="Arial" w:cs="Arial"/>
                <w:sz w:val="16"/>
                <w:szCs w:val="16"/>
              </w:rPr>
              <w:t>(34.636,85)</w:t>
            </w:r>
          </w:p>
        </w:tc>
      </w:tr>
      <w:tr w:rsidR="00BA3275" w14:paraId="66931B5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70F7953" w14:textId="77777777" w:rsidR="00BA3275"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7AE58D8" w14:textId="77777777" w:rsidR="00BA3275" w:rsidRDefault="00000000">
            <w:pPr>
              <w:jc w:val="right"/>
              <w:rPr>
                <w:rFonts w:eastAsia="Times New Roman"/>
              </w:rPr>
            </w:pPr>
            <w:r>
              <w:rPr>
                <w:rFonts w:ascii="Arial" w:eastAsia="Times New Roman" w:hAnsi="Arial" w:cs="Arial"/>
                <w:b/>
                <w:bCs/>
                <w:sz w:val="16"/>
                <w:szCs w:val="16"/>
              </w:rPr>
              <w:t>41.334.133,84</w:t>
            </w:r>
          </w:p>
        </w:tc>
      </w:tr>
    </w:tbl>
    <w:p w14:paraId="1E9F2B50" w14:textId="77777777" w:rsidR="00BA3275" w:rsidRDefault="00000000">
      <w:pPr>
        <w:pStyle w:val="NormalWeb"/>
      </w:pPr>
      <w:r>
        <w:rPr>
          <w:rFonts w:ascii="Arial" w:hAnsi="Arial" w:cs="Arial"/>
          <w:b/>
          <w:bCs/>
          <w:sz w:val="20"/>
          <w:szCs w:val="20"/>
        </w:rPr>
        <w:t xml:space="preserve">19. Despesas da Intermediação Financeira </w:t>
      </w:r>
    </w:p>
    <w:tbl>
      <w:tblPr>
        <w:tblW w:w="5000" w:type="pct"/>
        <w:tblCellMar>
          <w:left w:w="0" w:type="dxa"/>
          <w:right w:w="0" w:type="dxa"/>
        </w:tblCellMar>
        <w:tblLook w:val="04A0" w:firstRow="1" w:lastRow="0" w:firstColumn="1" w:lastColumn="0" w:noHBand="0" w:noVBand="1"/>
      </w:tblPr>
      <w:tblGrid>
        <w:gridCol w:w="7462"/>
        <w:gridCol w:w="2160"/>
      </w:tblGrid>
      <w:tr w:rsidR="00BA3275" w14:paraId="44087BB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B4D69E9" w14:textId="77777777" w:rsidR="00BA3275"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50548"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50BFEED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47FE0AC" w14:textId="77777777" w:rsidR="00BA3275" w:rsidRDefault="00000000">
            <w:pPr>
              <w:rPr>
                <w:rFonts w:eastAsia="Times New Roman"/>
              </w:rPr>
            </w:pPr>
            <w:r>
              <w:rPr>
                <w:rFonts w:ascii="Arial" w:eastAsia="Times New Roman" w:hAnsi="Arial" w:cs="Arial"/>
                <w:sz w:val="16"/>
                <w:szCs w:val="16"/>
              </w:rPr>
              <w:t>Despesas de Captação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8DAE641" w14:textId="77777777" w:rsidR="00BA3275" w:rsidRDefault="00000000">
            <w:pPr>
              <w:jc w:val="right"/>
              <w:rPr>
                <w:rFonts w:eastAsia="Times New Roman"/>
              </w:rPr>
            </w:pPr>
            <w:r>
              <w:rPr>
                <w:rFonts w:ascii="Arial" w:eastAsia="Times New Roman" w:hAnsi="Arial" w:cs="Arial"/>
                <w:sz w:val="16"/>
                <w:szCs w:val="16"/>
              </w:rPr>
              <w:t>(31.040.204,62)</w:t>
            </w:r>
          </w:p>
        </w:tc>
      </w:tr>
      <w:tr w:rsidR="00BA3275" w14:paraId="717C330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E3A2317" w14:textId="77777777" w:rsidR="00BA3275" w:rsidRDefault="00000000">
            <w:pPr>
              <w:rPr>
                <w:rFonts w:eastAsia="Times New Roman"/>
              </w:rPr>
            </w:pPr>
            <w:r>
              <w:rPr>
                <w:rFonts w:ascii="Arial" w:eastAsia="Times New Roman" w:hAnsi="Arial" w:cs="Arial"/>
                <w:sz w:val="16"/>
                <w:szCs w:val="16"/>
              </w:rPr>
              <w:t>Despesas de Obrigações por Empréstimos e Repasses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7610EA9" w14:textId="77777777" w:rsidR="00BA3275" w:rsidRDefault="00000000">
            <w:pPr>
              <w:jc w:val="right"/>
              <w:rPr>
                <w:rFonts w:eastAsia="Times New Roman"/>
              </w:rPr>
            </w:pPr>
            <w:r>
              <w:rPr>
                <w:rFonts w:ascii="Arial" w:eastAsia="Times New Roman" w:hAnsi="Arial" w:cs="Arial"/>
                <w:sz w:val="16"/>
                <w:szCs w:val="16"/>
              </w:rPr>
              <w:t>(13.742.609,67)</w:t>
            </w:r>
          </w:p>
        </w:tc>
      </w:tr>
      <w:tr w:rsidR="00BA3275" w14:paraId="14377FB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4BF4267" w14:textId="77777777" w:rsidR="00BA3275"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34ABF" w14:textId="77777777" w:rsidR="00BA3275" w:rsidRDefault="00000000">
            <w:pPr>
              <w:jc w:val="right"/>
              <w:rPr>
                <w:rFonts w:eastAsia="Times New Roman"/>
              </w:rPr>
            </w:pPr>
            <w:r>
              <w:rPr>
                <w:rFonts w:ascii="Arial" w:eastAsia="Times New Roman" w:hAnsi="Arial" w:cs="Arial"/>
                <w:b/>
                <w:bCs/>
                <w:sz w:val="16"/>
                <w:szCs w:val="16"/>
              </w:rPr>
              <w:t>(44.782.814,29)</w:t>
            </w:r>
          </w:p>
        </w:tc>
      </w:tr>
    </w:tbl>
    <w:p w14:paraId="0DE42FE9" w14:textId="77777777" w:rsidR="00BA3275" w:rsidRDefault="00000000">
      <w:pPr>
        <w:pStyle w:val="NormalWeb"/>
      </w:pPr>
      <w:r>
        <w:rPr>
          <w:rFonts w:ascii="Arial" w:hAnsi="Arial" w:cs="Arial"/>
          <w:b/>
          <w:bCs/>
          <w:sz w:val="20"/>
          <w:szCs w:val="20"/>
        </w:rPr>
        <w:t>20. Despesa com Provisão para Perdas Esperadas Associadas ao Risco de Crédito</w:t>
      </w:r>
    </w:p>
    <w:tbl>
      <w:tblPr>
        <w:tblW w:w="5000" w:type="pct"/>
        <w:tblCellMar>
          <w:left w:w="0" w:type="dxa"/>
          <w:right w:w="0" w:type="dxa"/>
        </w:tblCellMar>
        <w:tblLook w:val="04A0" w:firstRow="1" w:lastRow="0" w:firstColumn="1" w:lastColumn="0" w:noHBand="0" w:noVBand="1"/>
      </w:tblPr>
      <w:tblGrid>
        <w:gridCol w:w="8324"/>
        <w:gridCol w:w="1298"/>
      </w:tblGrid>
      <w:tr w:rsidR="00BA3275" w14:paraId="3ED0F7E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60EBA44" w14:textId="77777777" w:rsidR="00BA3275"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E0C7427"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741CFF5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1C22204" w14:textId="77777777" w:rsidR="00BA3275" w:rsidRDefault="00000000">
            <w:pPr>
              <w:rPr>
                <w:rFonts w:eastAsia="Times New Roman"/>
              </w:rPr>
            </w:pPr>
            <w:r>
              <w:rPr>
                <w:rFonts w:ascii="Arial" w:eastAsia="Times New Roman" w:hAnsi="Arial" w:cs="Arial"/>
                <w:sz w:val="16"/>
                <w:szCs w:val="16"/>
              </w:rPr>
              <w:t>Reversões de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F9FE4E5" w14:textId="77777777" w:rsidR="00BA3275" w:rsidRDefault="00000000">
            <w:pPr>
              <w:jc w:val="right"/>
              <w:rPr>
                <w:rFonts w:eastAsia="Times New Roman"/>
              </w:rPr>
            </w:pPr>
            <w:r>
              <w:rPr>
                <w:rFonts w:ascii="Arial" w:eastAsia="Times New Roman" w:hAnsi="Arial" w:cs="Arial"/>
                <w:sz w:val="16"/>
                <w:szCs w:val="16"/>
              </w:rPr>
              <w:t>9.742.129,02</w:t>
            </w:r>
          </w:p>
        </w:tc>
      </w:tr>
      <w:tr w:rsidR="00BA3275" w14:paraId="62CB774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77C2710" w14:textId="77777777" w:rsidR="00BA3275" w:rsidRDefault="00000000">
            <w:pPr>
              <w:rPr>
                <w:rFonts w:eastAsia="Times New Roman"/>
              </w:rPr>
            </w:pPr>
            <w:r>
              <w:rPr>
                <w:rFonts w:ascii="Arial" w:eastAsia="Times New Roman" w:hAnsi="Arial" w:cs="Arial"/>
                <w:sz w:val="16"/>
                <w:szCs w:val="16"/>
              </w:rPr>
              <w:t>Reversões de Provisões para Outras Operações com Características de Concessão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0F359DF" w14:textId="77777777" w:rsidR="00BA3275" w:rsidRDefault="00000000">
            <w:pPr>
              <w:jc w:val="right"/>
              <w:rPr>
                <w:rFonts w:eastAsia="Times New Roman"/>
              </w:rPr>
            </w:pPr>
            <w:r>
              <w:rPr>
                <w:rFonts w:ascii="Arial" w:eastAsia="Times New Roman" w:hAnsi="Arial" w:cs="Arial"/>
                <w:sz w:val="16"/>
                <w:szCs w:val="16"/>
              </w:rPr>
              <w:t>254.856,11</w:t>
            </w:r>
          </w:p>
        </w:tc>
      </w:tr>
      <w:tr w:rsidR="00BA3275" w14:paraId="6A9B1F6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2ACED7D" w14:textId="77777777" w:rsidR="00BA3275" w:rsidRDefault="00000000">
            <w:pPr>
              <w:rPr>
                <w:rFonts w:eastAsia="Times New Roman"/>
              </w:rPr>
            </w:pPr>
            <w:r>
              <w:rPr>
                <w:rFonts w:ascii="Arial" w:eastAsia="Times New Roman" w:hAnsi="Arial" w:cs="Arial"/>
                <w:sz w:val="16"/>
                <w:szCs w:val="16"/>
              </w:rPr>
              <w:t>Reversões de Provisões para Compromissos e Créditos a Liberar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F1F9B72" w14:textId="77777777" w:rsidR="00BA3275" w:rsidRDefault="00000000">
            <w:pPr>
              <w:jc w:val="right"/>
              <w:rPr>
                <w:rFonts w:eastAsia="Times New Roman"/>
              </w:rPr>
            </w:pPr>
            <w:r>
              <w:rPr>
                <w:rFonts w:ascii="Arial" w:eastAsia="Times New Roman" w:hAnsi="Arial" w:cs="Arial"/>
                <w:sz w:val="16"/>
                <w:szCs w:val="16"/>
              </w:rPr>
              <w:t>41.091,28</w:t>
            </w:r>
          </w:p>
        </w:tc>
      </w:tr>
      <w:tr w:rsidR="00BA3275" w14:paraId="409A275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C0FCA91" w14:textId="77777777" w:rsidR="00BA3275" w:rsidRDefault="00000000">
            <w:pPr>
              <w:rPr>
                <w:rFonts w:eastAsia="Times New Roman"/>
              </w:rPr>
            </w:pPr>
            <w:r>
              <w:rPr>
                <w:rFonts w:ascii="Arial" w:eastAsia="Times New Roman" w:hAnsi="Arial" w:cs="Arial"/>
                <w:sz w:val="16"/>
                <w:szCs w:val="16"/>
              </w:rPr>
              <w:t>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AFFF4" w14:textId="77777777" w:rsidR="00BA3275" w:rsidRDefault="00000000">
            <w:pPr>
              <w:jc w:val="right"/>
              <w:rPr>
                <w:rFonts w:eastAsia="Times New Roman"/>
              </w:rPr>
            </w:pPr>
            <w:r>
              <w:rPr>
                <w:rFonts w:ascii="Arial" w:eastAsia="Times New Roman" w:hAnsi="Arial" w:cs="Arial"/>
                <w:sz w:val="16"/>
                <w:szCs w:val="16"/>
              </w:rPr>
              <w:t>(8.157.602,77)</w:t>
            </w:r>
          </w:p>
        </w:tc>
      </w:tr>
      <w:tr w:rsidR="00BA3275" w14:paraId="45F0AD1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4E3ACBC" w14:textId="77777777" w:rsidR="00BA3275" w:rsidRDefault="00000000">
            <w:pPr>
              <w:rPr>
                <w:rFonts w:eastAsia="Times New Roman"/>
              </w:rPr>
            </w:pPr>
            <w:r>
              <w:rPr>
                <w:rFonts w:ascii="Arial" w:eastAsia="Times New Roman" w:hAnsi="Arial" w:cs="Arial"/>
                <w:sz w:val="16"/>
                <w:szCs w:val="16"/>
              </w:rPr>
              <w:t>Provisões para Outras Operações com Características de Concessão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D66A5BA" w14:textId="77777777" w:rsidR="00BA3275" w:rsidRDefault="00000000">
            <w:pPr>
              <w:jc w:val="right"/>
              <w:rPr>
                <w:rFonts w:eastAsia="Times New Roman"/>
              </w:rPr>
            </w:pPr>
            <w:r>
              <w:rPr>
                <w:rFonts w:ascii="Arial" w:eastAsia="Times New Roman" w:hAnsi="Arial" w:cs="Arial"/>
                <w:sz w:val="16"/>
                <w:szCs w:val="16"/>
              </w:rPr>
              <w:t>(339.542,00)</w:t>
            </w:r>
          </w:p>
        </w:tc>
      </w:tr>
      <w:tr w:rsidR="00BA3275" w14:paraId="1048DEF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D2DCB29" w14:textId="77777777" w:rsidR="00BA3275" w:rsidRDefault="00000000">
            <w:pPr>
              <w:rPr>
                <w:rFonts w:eastAsia="Times New Roman"/>
              </w:rPr>
            </w:pPr>
            <w:r>
              <w:rPr>
                <w:rFonts w:ascii="Arial" w:eastAsia="Times New Roman" w:hAnsi="Arial" w:cs="Arial"/>
                <w:sz w:val="16"/>
                <w:szCs w:val="16"/>
              </w:rPr>
              <w:t>Provisões para Compromissos e Créditos a Liberar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0D7C262" w14:textId="77777777" w:rsidR="00BA3275" w:rsidRDefault="00000000">
            <w:pPr>
              <w:jc w:val="right"/>
              <w:rPr>
                <w:rFonts w:eastAsia="Times New Roman"/>
              </w:rPr>
            </w:pPr>
            <w:r>
              <w:rPr>
                <w:rFonts w:ascii="Arial" w:eastAsia="Times New Roman" w:hAnsi="Arial" w:cs="Arial"/>
                <w:sz w:val="16"/>
                <w:szCs w:val="16"/>
              </w:rPr>
              <w:t>(34.044,99)</w:t>
            </w:r>
          </w:p>
        </w:tc>
      </w:tr>
      <w:tr w:rsidR="00BA3275" w14:paraId="0E41021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69DF6B4" w14:textId="77777777" w:rsidR="00BA3275"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50E3CD9" w14:textId="77777777" w:rsidR="00BA3275" w:rsidRDefault="00000000">
            <w:pPr>
              <w:jc w:val="right"/>
              <w:rPr>
                <w:rFonts w:eastAsia="Times New Roman"/>
              </w:rPr>
            </w:pPr>
            <w:r>
              <w:rPr>
                <w:rFonts w:ascii="Arial" w:eastAsia="Times New Roman" w:hAnsi="Arial" w:cs="Arial"/>
                <w:b/>
                <w:bCs/>
                <w:sz w:val="16"/>
                <w:szCs w:val="16"/>
              </w:rPr>
              <w:t>1.506.886,65</w:t>
            </w:r>
          </w:p>
        </w:tc>
      </w:tr>
    </w:tbl>
    <w:p w14:paraId="5CBFD92E" w14:textId="77777777" w:rsidR="00BA3275" w:rsidRDefault="00000000">
      <w:pPr>
        <w:pStyle w:val="NormalWeb"/>
      </w:pPr>
      <w:r>
        <w:rPr>
          <w:rFonts w:ascii="Arial" w:hAnsi="Arial" w:cs="Arial"/>
          <w:b/>
          <w:bCs/>
          <w:sz w:val="20"/>
          <w:szCs w:val="20"/>
        </w:rPr>
        <w:t xml:space="preserve">21. Rendas de Tarifas </w:t>
      </w:r>
    </w:p>
    <w:tbl>
      <w:tblPr>
        <w:tblW w:w="5000" w:type="pct"/>
        <w:tblCellMar>
          <w:left w:w="0" w:type="dxa"/>
          <w:right w:w="0" w:type="dxa"/>
        </w:tblCellMar>
        <w:tblLook w:val="04A0" w:firstRow="1" w:lastRow="0" w:firstColumn="1" w:lastColumn="0" w:noHBand="0" w:noVBand="1"/>
      </w:tblPr>
      <w:tblGrid>
        <w:gridCol w:w="7461"/>
        <w:gridCol w:w="2161"/>
      </w:tblGrid>
      <w:tr w:rsidR="00BA3275" w14:paraId="3DB388D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6FBA323" w14:textId="77777777" w:rsidR="00BA3275" w:rsidRDefault="00000000">
            <w:pPr>
              <w:jc w:val="center"/>
              <w:rPr>
                <w:rFonts w:eastAsia="Times New Roman"/>
              </w:rPr>
            </w:pPr>
            <w:r>
              <w:rPr>
                <w:rFonts w:ascii="Arial" w:eastAsia="Times New Roman" w:hAnsi="Arial" w:cs="Arial"/>
                <w:b/>
                <w:bCs/>
                <w:sz w:val="16"/>
                <w:szCs w:val="16"/>
              </w:rPr>
              <w:lastRenderedPageBreak/>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EAE3EFF"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3E8B771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B956F88" w14:textId="77777777" w:rsidR="00BA3275" w:rsidRDefault="00000000">
            <w:pPr>
              <w:rPr>
                <w:rFonts w:eastAsia="Times New Roman"/>
              </w:rPr>
            </w:pPr>
            <w:r>
              <w:rPr>
                <w:rFonts w:ascii="Arial" w:eastAsia="Times New Roman" w:hAnsi="Arial" w:cs="Arial"/>
                <w:sz w:val="16"/>
                <w:szCs w:val="16"/>
              </w:rPr>
              <w:t>Rendas de Serviços Prioritários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1EE47C91" w14:textId="77777777" w:rsidR="00BA3275" w:rsidRDefault="00000000">
            <w:pPr>
              <w:jc w:val="right"/>
              <w:rPr>
                <w:rFonts w:eastAsia="Times New Roman"/>
              </w:rPr>
            </w:pPr>
            <w:r>
              <w:rPr>
                <w:rFonts w:ascii="Arial" w:eastAsia="Times New Roman" w:hAnsi="Arial" w:cs="Arial"/>
                <w:sz w:val="16"/>
                <w:szCs w:val="16"/>
              </w:rPr>
              <w:t>132.047,50</w:t>
            </w:r>
          </w:p>
        </w:tc>
      </w:tr>
      <w:tr w:rsidR="00BA3275" w14:paraId="01413E0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7642125" w14:textId="77777777" w:rsidR="00BA3275" w:rsidRDefault="00000000">
            <w:pPr>
              <w:rPr>
                <w:rFonts w:eastAsia="Times New Roman"/>
              </w:rPr>
            </w:pPr>
            <w:r>
              <w:rPr>
                <w:rFonts w:ascii="Arial" w:eastAsia="Times New Roman" w:hAnsi="Arial" w:cs="Arial"/>
                <w:sz w:val="16"/>
                <w:szCs w:val="16"/>
              </w:rPr>
              <w:t>Rendas de Serviços Diferenciados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27584AFB" w14:textId="77777777" w:rsidR="00BA3275" w:rsidRDefault="00000000">
            <w:pPr>
              <w:jc w:val="right"/>
              <w:rPr>
                <w:rFonts w:eastAsia="Times New Roman"/>
              </w:rPr>
            </w:pPr>
            <w:r>
              <w:rPr>
                <w:rFonts w:ascii="Arial" w:eastAsia="Times New Roman" w:hAnsi="Arial" w:cs="Arial"/>
                <w:sz w:val="16"/>
                <w:szCs w:val="16"/>
              </w:rPr>
              <w:t>260.386,70</w:t>
            </w:r>
          </w:p>
        </w:tc>
      </w:tr>
      <w:tr w:rsidR="00BA3275" w14:paraId="6EA1EB2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EF63B69" w14:textId="77777777" w:rsidR="00BA3275" w:rsidRDefault="00000000">
            <w:pPr>
              <w:rPr>
                <w:rFonts w:eastAsia="Times New Roman"/>
              </w:rPr>
            </w:pPr>
            <w:r>
              <w:rPr>
                <w:rFonts w:ascii="Arial" w:eastAsia="Times New Roman" w:hAnsi="Arial" w:cs="Arial"/>
                <w:sz w:val="16"/>
                <w:szCs w:val="16"/>
              </w:rPr>
              <w:t>Rendas de Serviços Especiais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0751F7F3" w14:textId="77777777" w:rsidR="00BA3275" w:rsidRDefault="00000000">
            <w:pPr>
              <w:jc w:val="right"/>
              <w:rPr>
                <w:rFonts w:eastAsia="Times New Roman"/>
              </w:rPr>
            </w:pPr>
            <w:r>
              <w:rPr>
                <w:rFonts w:ascii="Arial" w:eastAsia="Times New Roman" w:hAnsi="Arial" w:cs="Arial"/>
                <w:sz w:val="16"/>
                <w:szCs w:val="16"/>
              </w:rPr>
              <w:t>15.431,00</w:t>
            </w:r>
          </w:p>
        </w:tc>
      </w:tr>
      <w:tr w:rsidR="00BA3275" w14:paraId="4F15514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4C855F8" w14:textId="77777777" w:rsidR="00BA3275" w:rsidRDefault="00000000">
            <w:pPr>
              <w:rPr>
                <w:rFonts w:eastAsia="Times New Roman"/>
              </w:rPr>
            </w:pPr>
            <w:r>
              <w:rPr>
                <w:rFonts w:ascii="Arial" w:eastAsia="Times New Roman" w:hAnsi="Arial" w:cs="Arial"/>
                <w:sz w:val="16"/>
                <w:szCs w:val="16"/>
              </w:rPr>
              <w:t>Rendas de Outras Tarifas - PJ</w:t>
            </w:r>
          </w:p>
        </w:tc>
        <w:tc>
          <w:tcPr>
            <w:tcW w:w="0" w:type="auto"/>
            <w:tcBorders>
              <w:top w:val="outset" w:sz="6" w:space="0" w:color="auto"/>
              <w:left w:val="outset" w:sz="6" w:space="0" w:color="auto"/>
              <w:bottom w:val="outset" w:sz="6" w:space="0" w:color="auto"/>
              <w:right w:val="outset" w:sz="6" w:space="0" w:color="auto"/>
            </w:tcBorders>
            <w:vAlign w:val="center"/>
            <w:hideMark/>
          </w:tcPr>
          <w:p w14:paraId="2496FA84" w14:textId="77777777" w:rsidR="00BA3275" w:rsidRDefault="00000000">
            <w:pPr>
              <w:jc w:val="right"/>
              <w:rPr>
                <w:rFonts w:eastAsia="Times New Roman"/>
              </w:rPr>
            </w:pPr>
            <w:r>
              <w:rPr>
                <w:rFonts w:ascii="Arial" w:eastAsia="Times New Roman" w:hAnsi="Arial" w:cs="Arial"/>
                <w:sz w:val="16"/>
                <w:szCs w:val="16"/>
              </w:rPr>
              <w:t>130.950,57</w:t>
            </w:r>
          </w:p>
        </w:tc>
      </w:tr>
      <w:tr w:rsidR="00BA3275" w14:paraId="27F3A91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FDAE009" w14:textId="77777777" w:rsidR="00BA3275"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AD1A6AB" w14:textId="77777777" w:rsidR="00BA3275" w:rsidRDefault="00000000">
            <w:pPr>
              <w:jc w:val="right"/>
              <w:rPr>
                <w:rFonts w:eastAsia="Times New Roman"/>
              </w:rPr>
            </w:pPr>
            <w:r>
              <w:rPr>
                <w:rFonts w:ascii="Arial" w:eastAsia="Times New Roman" w:hAnsi="Arial" w:cs="Arial"/>
                <w:b/>
                <w:bCs/>
                <w:sz w:val="16"/>
                <w:szCs w:val="16"/>
              </w:rPr>
              <w:t>538.815,77</w:t>
            </w:r>
          </w:p>
        </w:tc>
      </w:tr>
    </w:tbl>
    <w:p w14:paraId="3414C012" w14:textId="77777777" w:rsidR="00BA3275" w:rsidRDefault="00000000">
      <w:pPr>
        <w:pStyle w:val="NormalWeb"/>
      </w:pPr>
      <w:r>
        <w:rPr>
          <w:rFonts w:ascii="Arial" w:hAnsi="Arial" w:cs="Arial"/>
          <w:b/>
          <w:bCs/>
          <w:sz w:val="20"/>
          <w:szCs w:val="20"/>
        </w:rPr>
        <w:t xml:space="preserve">22. Receitas de Prestação de Serviços </w:t>
      </w:r>
    </w:p>
    <w:tbl>
      <w:tblPr>
        <w:tblW w:w="5000" w:type="pct"/>
        <w:tblCellMar>
          <w:left w:w="0" w:type="dxa"/>
          <w:right w:w="0" w:type="dxa"/>
        </w:tblCellMar>
        <w:tblLook w:val="04A0" w:firstRow="1" w:lastRow="0" w:firstColumn="1" w:lastColumn="0" w:noHBand="0" w:noVBand="1"/>
      </w:tblPr>
      <w:tblGrid>
        <w:gridCol w:w="8468"/>
        <w:gridCol w:w="1154"/>
      </w:tblGrid>
      <w:tr w:rsidR="00BA3275" w14:paraId="3B850E4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B193FDE" w14:textId="77777777" w:rsidR="00BA3275"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2B3EC82"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5817416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A822FA1" w14:textId="77777777" w:rsidR="00BA3275" w:rsidRDefault="00000000">
            <w:pPr>
              <w:rPr>
                <w:rFonts w:eastAsia="Times New Roman"/>
              </w:rPr>
            </w:pPr>
            <w:r>
              <w:rPr>
                <w:rFonts w:ascii="Arial" w:eastAsia="Times New Roman" w:hAnsi="Arial" w:cs="Arial"/>
                <w:sz w:val="16"/>
                <w:szCs w:val="16"/>
              </w:rPr>
              <w:t>Rendas de Cobrança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A3244" w14:textId="77777777" w:rsidR="00BA3275" w:rsidRDefault="00000000">
            <w:pPr>
              <w:jc w:val="right"/>
              <w:rPr>
                <w:rFonts w:eastAsia="Times New Roman"/>
              </w:rPr>
            </w:pPr>
            <w:r>
              <w:rPr>
                <w:rFonts w:ascii="Arial" w:eastAsia="Times New Roman" w:hAnsi="Arial" w:cs="Arial"/>
                <w:sz w:val="16"/>
                <w:szCs w:val="16"/>
              </w:rPr>
              <w:t>209.616,30</w:t>
            </w:r>
          </w:p>
        </w:tc>
      </w:tr>
      <w:tr w:rsidR="00BA3275" w14:paraId="27CB271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F35F401" w14:textId="77777777" w:rsidR="00BA3275" w:rsidRDefault="00000000">
            <w:pPr>
              <w:rPr>
                <w:rFonts w:eastAsia="Times New Roman"/>
              </w:rPr>
            </w:pPr>
            <w:r>
              <w:rPr>
                <w:rFonts w:ascii="Arial" w:eastAsia="Times New Roman" w:hAnsi="Arial" w:cs="Arial"/>
                <w:sz w:val="16"/>
                <w:szCs w:val="16"/>
              </w:rPr>
              <w:t>Rendas por Serviços de Pagamento - Outros Serviços Relacionados a Transações de Pagamento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E7214" w14:textId="77777777" w:rsidR="00BA3275" w:rsidRDefault="00000000">
            <w:pPr>
              <w:jc w:val="right"/>
              <w:rPr>
                <w:rFonts w:eastAsia="Times New Roman"/>
              </w:rPr>
            </w:pPr>
            <w:r>
              <w:rPr>
                <w:rFonts w:ascii="Arial" w:eastAsia="Times New Roman" w:hAnsi="Arial" w:cs="Arial"/>
                <w:sz w:val="16"/>
                <w:szCs w:val="16"/>
              </w:rPr>
              <w:t>191.847,46</w:t>
            </w:r>
          </w:p>
        </w:tc>
      </w:tr>
      <w:tr w:rsidR="00BA3275" w14:paraId="2B56774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7A724D9" w14:textId="77777777" w:rsidR="00BA3275" w:rsidRDefault="00000000">
            <w:pPr>
              <w:rPr>
                <w:rFonts w:eastAsia="Times New Roman"/>
              </w:rPr>
            </w:pPr>
            <w:r>
              <w:rPr>
                <w:rFonts w:ascii="Arial" w:eastAsia="Times New Roman" w:hAnsi="Arial" w:cs="Arial"/>
                <w:sz w:val="16"/>
                <w:szCs w:val="16"/>
              </w:rPr>
              <w:t>Rendas de Convênios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3D78F8" w14:textId="77777777" w:rsidR="00BA3275" w:rsidRDefault="00000000">
            <w:pPr>
              <w:jc w:val="right"/>
              <w:rPr>
                <w:rFonts w:eastAsia="Times New Roman"/>
              </w:rPr>
            </w:pPr>
            <w:r>
              <w:rPr>
                <w:rFonts w:ascii="Arial" w:eastAsia="Times New Roman" w:hAnsi="Arial" w:cs="Arial"/>
                <w:sz w:val="16"/>
                <w:szCs w:val="16"/>
              </w:rPr>
              <w:t>37.794,38</w:t>
            </w:r>
          </w:p>
        </w:tc>
      </w:tr>
      <w:tr w:rsidR="00BA3275" w14:paraId="45E8CC1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F2B50BD" w14:textId="77777777" w:rsidR="00BA3275" w:rsidRDefault="00000000">
            <w:pPr>
              <w:rPr>
                <w:rFonts w:eastAsia="Times New Roman"/>
              </w:rPr>
            </w:pPr>
            <w:r>
              <w:rPr>
                <w:rFonts w:ascii="Arial" w:eastAsia="Times New Roman" w:hAnsi="Arial" w:cs="Arial"/>
                <w:sz w:val="16"/>
                <w:szCs w:val="16"/>
              </w:rPr>
              <w:t>Rendas de Comissão de Outros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C529FE" w14:textId="77777777" w:rsidR="00BA3275" w:rsidRDefault="00000000">
            <w:pPr>
              <w:jc w:val="right"/>
              <w:rPr>
                <w:rFonts w:eastAsia="Times New Roman"/>
              </w:rPr>
            </w:pPr>
            <w:r>
              <w:rPr>
                <w:rFonts w:ascii="Arial" w:eastAsia="Times New Roman" w:hAnsi="Arial" w:cs="Arial"/>
                <w:sz w:val="16"/>
                <w:szCs w:val="16"/>
              </w:rPr>
              <w:t>7.979,73</w:t>
            </w:r>
          </w:p>
        </w:tc>
      </w:tr>
      <w:tr w:rsidR="00BA3275" w14:paraId="2282670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EEB6262" w14:textId="77777777" w:rsidR="00BA3275" w:rsidRDefault="00000000">
            <w:pPr>
              <w:rPr>
                <w:rFonts w:eastAsia="Times New Roman"/>
              </w:rPr>
            </w:pPr>
            <w:r>
              <w:rPr>
                <w:rFonts w:ascii="Arial" w:eastAsia="Times New Roman" w:hAnsi="Arial" w:cs="Arial"/>
                <w:sz w:val="16"/>
                <w:szCs w:val="16"/>
              </w:rPr>
              <w:t>Rendas de Comissão Plano de Saúde</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A0804" w14:textId="77777777" w:rsidR="00BA3275" w:rsidRDefault="00000000">
            <w:pPr>
              <w:jc w:val="right"/>
              <w:rPr>
                <w:rFonts w:eastAsia="Times New Roman"/>
              </w:rPr>
            </w:pPr>
            <w:r>
              <w:rPr>
                <w:rFonts w:ascii="Arial" w:eastAsia="Times New Roman" w:hAnsi="Arial" w:cs="Arial"/>
                <w:sz w:val="16"/>
                <w:szCs w:val="16"/>
              </w:rPr>
              <w:t>17.773,63</w:t>
            </w:r>
          </w:p>
        </w:tc>
      </w:tr>
      <w:tr w:rsidR="00BA3275" w14:paraId="22A9CC0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FB8699C" w14:textId="77777777" w:rsidR="00BA3275" w:rsidRDefault="00000000">
            <w:pPr>
              <w:rPr>
                <w:rFonts w:eastAsia="Times New Roman"/>
              </w:rPr>
            </w:pPr>
            <w:r>
              <w:rPr>
                <w:rFonts w:ascii="Arial" w:eastAsia="Times New Roman" w:hAnsi="Arial" w:cs="Arial"/>
                <w:sz w:val="16"/>
                <w:szCs w:val="16"/>
              </w:rPr>
              <w:t>Rendas de Outros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B88A98" w14:textId="77777777" w:rsidR="00BA3275" w:rsidRDefault="00000000">
            <w:pPr>
              <w:jc w:val="right"/>
              <w:rPr>
                <w:rFonts w:eastAsia="Times New Roman"/>
              </w:rPr>
            </w:pPr>
            <w:r>
              <w:rPr>
                <w:rFonts w:ascii="Arial" w:eastAsia="Times New Roman" w:hAnsi="Arial" w:cs="Arial"/>
                <w:sz w:val="16"/>
                <w:szCs w:val="16"/>
              </w:rPr>
              <w:t>137.210,58</w:t>
            </w:r>
          </w:p>
        </w:tc>
      </w:tr>
      <w:tr w:rsidR="00BA3275" w14:paraId="29045B3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705D89A" w14:textId="77777777" w:rsidR="00BA3275" w:rsidRDefault="00000000">
            <w:pPr>
              <w:rPr>
                <w:rFonts w:eastAsia="Times New Roman"/>
              </w:rPr>
            </w:pPr>
            <w:r>
              <w:rPr>
                <w:rFonts w:ascii="Arial" w:eastAsia="Times New Roman" w:hAnsi="Arial" w:cs="Arial"/>
                <w:sz w:val="16"/>
                <w:szCs w:val="16"/>
              </w:rPr>
              <w:t>Rendas de Comissão de Seguros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6536987" w14:textId="77777777" w:rsidR="00BA3275" w:rsidRDefault="00000000">
            <w:pPr>
              <w:jc w:val="right"/>
              <w:rPr>
                <w:rFonts w:eastAsia="Times New Roman"/>
              </w:rPr>
            </w:pPr>
            <w:r>
              <w:rPr>
                <w:rFonts w:ascii="Arial" w:eastAsia="Times New Roman" w:hAnsi="Arial" w:cs="Arial"/>
                <w:sz w:val="16"/>
                <w:szCs w:val="16"/>
              </w:rPr>
              <w:t>1.084.548,99</w:t>
            </w:r>
          </w:p>
        </w:tc>
      </w:tr>
      <w:tr w:rsidR="00BA3275" w14:paraId="7968573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72C8B3A" w14:textId="77777777" w:rsidR="00BA3275" w:rsidRDefault="00000000">
            <w:pPr>
              <w:rPr>
                <w:rFonts w:eastAsia="Times New Roman"/>
              </w:rPr>
            </w:pPr>
            <w:r>
              <w:rPr>
                <w:rFonts w:ascii="Arial" w:eastAsia="Times New Roman" w:hAnsi="Arial" w:cs="Arial"/>
                <w:sz w:val="16"/>
                <w:szCs w:val="16"/>
              </w:rPr>
              <w:t>Rendas de Comissão de Previdência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72E5EAA9" w14:textId="77777777" w:rsidR="00BA3275" w:rsidRDefault="00000000">
            <w:pPr>
              <w:jc w:val="right"/>
              <w:rPr>
                <w:rFonts w:eastAsia="Times New Roman"/>
              </w:rPr>
            </w:pPr>
            <w:r>
              <w:rPr>
                <w:rFonts w:ascii="Arial" w:eastAsia="Times New Roman" w:hAnsi="Arial" w:cs="Arial"/>
                <w:sz w:val="16"/>
                <w:szCs w:val="16"/>
              </w:rPr>
              <w:t>37,91</w:t>
            </w:r>
          </w:p>
        </w:tc>
      </w:tr>
      <w:tr w:rsidR="00BA3275" w14:paraId="28099DD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2E7DD7C" w14:textId="77777777" w:rsidR="00BA3275" w:rsidRDefault="00000000">
            <w:pPr>
              <w:rPr>
                <w:rFonts w:eastAsia="Times New Roman"/>
              </w:rPr>
            </w:pPr>
            <w:r>
              <w:rPr>
                <w:rFonts w:ascii="Arial" w:eastAsia="Times New Roman" w:hAnsi="Arial" w:cs="Arial"/>
                <w:sz w:val="16"/>
                <w:szCs w:val="16"/>
              </w:rPr>
              <w:t>Rendas com Outras Comissões Comerciais e sobre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428B08C" w14:textId="77777777" w:rsidR="00BA3275" w:rsidRDefault="00000000">
            <w:pPr>
              <w:jc w:val="right"/>
              <w:rPr>
                <w:rFonts w:eastAsia="Times New Roman"/>
              </w:rPr>
            </w:pPr>
            <w:r>
              <w:rPr>
                <w:rFonts w:ascii="Arial" w:eastAsia="Times New Roman" w:hAnsi="Arial" w:cs="Arial"/>
                <w:sz w:val="16"/>
                <w:szCs w:val="16"/>
              </w:rPr>
              <w:t>569.885,14</w:t>
            </w:r>
          </w:p>
        </w:tc>
      </w:tr>
      <w:tr w:rsidR="00BA3275" w14:paraId="13DC51D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3F7FBD3" w14:textId="77777777" w:rsidR="00BA3275" w:rsidRDefault="00000000">
            <w:pPr>
              <w:rPr>
                <w:rFonts w:eastAsia="Times New Roman"/>
              </w:rPr>
            </w:pPr>
            <w:r>
              <w:rPr>
                <w:rFonts w:ascii="Arial" w:eastAsia="Times New Roman" w:hAnsi="Arial" w:cs="Arial"/>
                <w:sz w:val="16"/>
                <w:szCs w:val="16"/>
              </w:rPr>
              <w:t>Rendas de Tarifa Anuidade Cartão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B84772A" w14:textId="77777777" w:rsidR="00BA3275" w:rsidRDefault="00000000">
            <w:pPr>
              <w:jc w:val="right"/>
              <w:rPr>
                <w:rFonts w:eastAsia="Times New Roman"/>
              </w:rPr>
            </w:pPr>
            <w:r>
              <w:rPr>
                <w:rFonts w:ascii="Arial" w:eastAsia="Times New Roman" w:hAnsi="Arial" w:cs="Arial"/>
                <w:sz w:val="16"/>
                <w:szCs w:val="16"/>
              </w:rPr>
              <w:t>139.969,75</w:t>
            </w:r>
          </w:p>
        </w:tc>
      </w:tr>
      <w:tr w:rsidR="00BA3275" w14:paraId="52861D9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63D4954" w14:textId="77777777" w:rsidR="00BA3275" w:rsidRDefault="00000000">
            <w:pPr>
              <w:rPr>
                <w:rFonts w:eastAsia="Times New Roman"/>
              </w:rPr>
            </w:pPr>
            <w:r>
              <w:rPr>
                <w:rFonts w:ascii="Arial" w:eastAsia="Times New Roman" w:hAnsi="Arial" w:cs="Arial"/>
                <w:sz w:val="16"/>
                <w:szCs w:val="16"/>
              </w:rPr>
              <w:t>Rendas de Outras Tarifas de Cartões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32DE46" w14:textId="77777777" w:rsidR="00BA3275" w:rsidRDefault="00000000">
            <w:pPr>
              <w:jc w:val="right"/>
              <w:rPr>
                <w:rFonts w:eastAsia="Times New Roman"/>
              </w:rPr>
            </w:pPr>
            <w:r>
              <w:rPr>
                <w:rFonts w:ascii="Arial" w:eastAsia="Times New Roman" w:hAnsi="Arial" w:cs="Arial"/>
                <w:sz w:val="16"/>
                <w:szCs w:val="16"/>
              </w:rPr>
              <w:t>4.654,00</w:t>
            </w:r>
          </w:p>
        </w:tc>
      </w:tr>
      <w:tr w:rsidR="00BA3275" w14:paraId="068FF14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E28FA25" w14:textId="77777777" w:rsidR="00BA3275" w:rsidRDefault="00000000">
            <w:pPr>
              <w:rPr>
                <w:rFonts w:eastAsia="Times New Roman"/>
              </w:rPr>
            </w:pPr>
            <w:r>
              <w:rPr>
                <w:rFonts w:ascii="Arial" w:eastAsia="Times New Roman" w:hAnsi="Arial" w:cs="Arial"/>
                <w:sz w:val="16"/>
                <w:szCs w:val="16"/>
              </w:rPr>
              <w:t>Rendas de Tarifas de Intercâmbio</w:t>
            </w:r>
          </w:p>
        </w:tc>
        <w:tc>
          <w:tcPr>
            <w:tcW w:w="0" w:type="auto"/>
            <w:tcBorders>
              <w:top w:val="outset" w:sz="6" w:space="0" w:color="auto"/>
              <w:left w:val="outset" w:sz="6" w:space="0" w:color="auto"/>
              <w:bottom w:val="outset" w:sz="6" w:space="0" w:color="auto"/>
              <w:right w:val="outset" w:sz="6" w:space="0" w:color="auto"/>
            </w:tcBorders>
            <w:vAlign w:val="center"/>
            <w:hideMark/>
          </w:tcPr>
          <w:p w14:paraId="05115FAC" w14:textId="77777777" w:rsidR="00BA3275" w:rsidRDefault="00000000">
            <w:pPr>
              <w:jc w:val="right"/>
              <w:rPr>
                <w:rFonts w:eastAsia="Times New Roman"/>
              </w:rPr>
            </w:pPr>
            <w:r>
              <w:rPr>
                <w:rFonts w:ascii="Arial" w:eastAsia="Times New Roman" w:hAnsi="Arial" w:cs="Arial"/>
                <w:sz w:val="16"/>
                <w:szCs w:val="16"/>
              </w:rPr>
              <w:t>1.006.013,67</w:t>
            </w:r>
          </w:p>
        </w:tc>
      </w:tr>
      <w:tr w:rsidR="00BA3275" w14:paraId="78DE7CC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B27CF36" w14:textId="77777777" w:rsidR="00BA3275" w:rsidRDefault="00000000">
            <w:pPr>
              <w:rPr>
                <w:rFonts w:eastAsia="Times New Roman"/>
              </w:rPr>
            </w:pPr>
            <w:r>
              <w:rPr>
                <w:rFonts w:ascii="Arial" w:eastAsia="Times New Roman" w:hAnsi="Arial" w:cs="Arial"/>
                <w:sz w:val="16"/>
                <w:szCs w:val="16"/>
              </w:rPr>
              <w:t>Rendas Aluguel Equipamentos de Transações de Pagamentos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454115" w14:textId="77777777" w:rsidR="00BA3275" w:rsidRDefault="00000000">
            <w:pPr>
              <w:jc w:val="right"/>
              <w:rPr>
                <w:rFonts w:eastAsia="Times New Roman"/>
              </w:rPr>
            </w:pPr>
            <w:r>
              <w:rPr>
                <w:rFonts w:ascii="Arial" w:eastAsia="Times New Roman" w:hAnsi="Arial" w:cs="Arial"/>
                <w:sz w:val="16"/>
                <w:szCs w:val="16"/>
              </w:rPr>
              <w:t>91.600,44</w:t>
            </w:r>
          </w:p>
        </w:tc>
      </w:tr>
      <w:tr w:rsidR="00BA3275" w14:paraId="4096640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A658FF9" w14:textId="77777777" w:rsidR="00BA3275" w:rsidRDefault="00000000">
            <w:pPr>
              <w:rPr>
                <w:rFonts w:eastAsia="Times New Roman"/>
              </w:rPr>
            </w:pPr>
            <w:r>
              <w:rPr>
                <w:rFonts w:ascii="Arial" w:eastAsia="Times New Roman" w:hAnsi="Arial" w:cs="Arial"/>
                <w:sz w:val="16"/>
                <w:szCs w:val="16"/>
              </w:rPr>
              <w:t>Rendas por Antecipação de Obrigações de Transações de Pagamento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551076A" w14:textId="77777777" w:rsidR="00BA3275" w:rsidRDefault="00000000">
            <w:pPr>
              <w:jc w:val="right"/>
              <w:rPr>
                <w:rFonts w:eastAsia="Times New Roman"/>
              </w:rPr>
            </w:pPr>
            <w:r>
              <w:rPr>
                <w:rFonts w:ascii="Arial" w:eastAsia="Times New Roman" w:hAnsi="Arial" w:cs="Arial"/>
                <w:sz w:val="16"/>
                <w:szCs w:val="16"/>
              </w:rPr>
              <w:t>32.500,02</w:t>
            </w:r>
          </w:p>
        </w:tc>
      </w:tr>
      <w:tr w:rsidR="00BA3275" w14:paraId="46EDF9C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488E19F" w14:textId="77777777" w:rsidR="00BA3275"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244729E" w14:textId="77777777" w:rsidR="00BA3275" w:rsidRDefault="00000000">
            <w:pPr>
              <w:jc w:val="right"/>
              <w:rPr>
                <w:rFonts w:eastAsia="Times New Roman"/>
              </w:rPr>
            </w:pPr>
            <w:r>
              <w:rPr>
                <w:rFonts w:ascii="Arial" w:eastAsia="Times New Roman" w:hAnsi="Arial" w:cs="Arial"/>
                <w:b/>
                <w:bCs/>
                <w:sz w:val="16"/>
                <w:szCs w:val="16"/>
              </w:rPr>
              <w:t>3.531.432,00</w:t>
            </w:r>
          </w:p>
        </w:tc>
      </w:tr>
    </w:tbl>
    <w:p w14:paraId="7AA2062C" w14:textId="77777777" w:rsidR="00BA3275" w:rsidRDefault="00000000">
      <w:pPr>
        <w:pStyle w:val="NormalWeb"/>
      </w:pPr>
      <w:r>
        <w:rPr>
          <w:rFonts w:ascii="Arial" w:hAnsi="Arial" w:cs="Arial"/>
          <w:b/>
          <w:bCs/>
          <w:sz w:val="20"/>
          <w:szCs w:val="20"/>
        </w:rPr>
        <w:t xml:space="preserve">23. Despesas de Pessoal </w:t>
      </w:r>
    </w:p>
    <w:tbl>
      <w:tblPr>
        <w:tblW w:w="5000" w:type="pct"/>
        <w:tblCellMar>
          <w:left w:w="0" w:type="dxa"/>
          <w:right w:w="0" w:type="dxa"/>
        </w:tblCellMar>
        <w:tblLook w:val="04A0" w:firstRow="1" w:lastRow="0" w:firstColumn="1" w:lastColumn="0" w:noHBand="0" w:noVBand="1"/>
      </w:tblPr>
      <w:tblGrid>
        <w:gridCol w:w="7841"/>
        <w:gridCol w:w="1781"/>
      </w:tblGrid>
      <w:tr w:rsidR="00BA3275" w14:paraId="7D70990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4D3BACC" w14:textId="77777777" w:rsidR="00BA3275"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9B204D8"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3981ACE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3AC659B" w14:textId="77777777" w:rsidR="00BA3275" w:rsidRDefault="00000000">
            <w:pPr>
              <w:rPr>
                <w:rFonts w:eastAsia="Times New Roman"/>
              </w:rPr>
            </w:pPr>
            <w:r>
              <w:rPr>
                <w:rFonts w:ascii="Arial" w:eastAsia="Times New Roman" w:hAnsi="Arial" w:cs="Arial"/>
                <w:sz w:val="16"/>
                <w:szCs w:val="16"/>
              </w:rPr>
              <w:t>Despesas de Honorários - Conselho Fiscal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7C2DC13" w14:textId="77777777" w:rsidR="00BA3275" w:rsidRDefault="00000000">
            <w:pPr>
              <w:jc w:val="right"/>
              <w:rPr>
                <w:rFonts w:eastAsia="Times New Roman"/>
              </w:rPr>
            </w:pPr>
            <w:r>
              <w:rPr>
                <w:rFonts w:ascii="Arial" w:eastAsia="Times New Roman" w:hAnsi="Arial" w:cs="Arial"/>
                <w:sz w:val="16"/>
                <w:szCs w:val="16"/>
              </w:rPr>
              <w:t>(53.833,02)</w:t>
            </w:r>
          </w:p>
        </w:tc>
      </w:tr>
      <w:tr w:rsidR="00BA3275" w14:paraId="67AAFBA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ED2F841" w14:textId="77777777" w:rsidR="00BA3275" w:rsidRDefault="00000000">
            <w:pPr>
              <w:rPr>
                <w:rFonts w:eastAsia="Times New Roman"/>
              </w:rPr>
            </w:pPr>
            <w:r>
              <w:rPr>
                <w:rFonts w:ascii="Arial" w:eastAsia="Times New Roman" w:hAnsi="Arial" w:cs="Arial"/>
                <w:sz w:val="16"/>
                <w:szCs w:val="16"/>
              </w:rPr>
              <w:t>Despesas de Honorários - Diretoria e Conselho de 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E8AA364" w14:textId="77777777" w:rsidR="00BA3275" w:rsidRDefault="00000000">
            <w:pPr>
              <w:jc w:val="right"/>
              <w:rPr>
                <w:rFonts w:eastAsia="Times New Roman"/>
              </w:rPr>
            </w:pPr>
            <w:r>
              <w:rPr>
                <w:rFonts w:ascii="Arial" w:eastAsia="Times New Roman" w:hAnsi="Arial" w:cs="Arial"/>
                <w:sz w:val="16"/>
                <w:szCs w:val="16"/>
              </w:rPr>
              <w:t>(973.534,05)</w:t>
            </w:r>
          </w:p>
        </w:tc>
      </w:tr>
      <w:tr w:rsidR="00BA3275" w14:paraId="597DC5F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5845A8F" w14:textId="77777777" w:rsidR="00BA3275" w:rsidRDefault="00000000">
            <w:pPr>
              <w:rPr>
                <w:rFonts w:eastAsia="Times New Roman"/>
              </w:rPr>
            </w:pPr>
            <w:r>
              <w:rPr>
                <w:rFonts w:ascii="Arial" w:eastAsia="Times New Roman" w:hAnsi="Arial" w:cs="Arial"/>
                <w:sz w:val="16"/>
                <w:szCs w:val="16"/>
              </w:rPr>
              <w:t>Despesas de Pessoal - Benefícios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92D838" w14:textId="77777777" w:rsidR="00BA3275" w:rsidRDefault="00000000">
            <w:pPr>
              <w:jc w:val="right"/>
              <w:rPr>
                <w:rFonts w:eastAsia="Times New Roman"/>
              </w:rPr>
            </w:pPr>
            <w:r>
              <w:rPr>
                <w:rFonts w:ascii="Arial" w:eastAsia="Times New Roman" w:hAnsi="Arial" w:cs="Arial"/>
                <w:sz w:val="16"/>
                <w:szCs w:val="16"/>
              </w:rPr>
              <w:t>(741.168,02)</w:t>
            </w:r>
          </w:p>
        </w:tc>
      </w:tr>
      <w:tr w:rsidR="00BA3275" w14:paraId="60999D4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9217F75" w14:textId="77777777" w:rsidR="00BA3275" w:rsidRDefault="00000000">
            <w:pPr>
              <w:rPr>
                <w:rFonts w:eastAsia="Times New Roman"/>
              </w:rPr>
            </w:pPr>
            <w:r>
              <w:rPr>
                <w:rFonts w:ascii="Arial" w:eastAsia="Times New Roman" w:hAnsi="Arial" w:cs="Arial"/>
                <w:sz w:val="16"/>
                <w:szCs w:val="16"/>
              </w:rPr>
              <w:t>Despesas de Pessoal - Encargos Sociais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52391B5" w14:textId="77777777" w:rsidR="00BA3275" w:rsidRDefault="00000000">
            <w:pPr>
              <w:jc w:val="right"/>
              <w:rPr>
                <w:rFonts w:eastAsia="Times New Roman"/>
              </w:rPr>
            </w:pPr>
            <w:r>
              <w:rPr>
                <w:rFonts w:ascii="Arial" w:eastAsia="Times New Roman" w:hAnsi="Arial" w:cs="Arial"/>
                <w:sz w:val="16"/>
                <w:szCs w:val="16"/>
              </w:rPr>
              <w:t>(1.058.654,07)</w:t>
            </w:r>
          </w:p>
        </w:tc>
      </w:tr>
      <w:tr w:rsidR="00BA3275" w14:paraId="19A5636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03476EE" w14:textId="77777777" w:rsidR="00BA3275" w:rsidRDefault="00000000">
            <w:pPr>
              <w:rPr>
                <w:rFonts w:eastAsia="Times New Roman"/>
              </w:rPr>
            </w:pPr>
            <w:r>
              <w:rPr>
                <w:rFonts w:ascii="Arial" w:eastAsia="Times New Roman" w:hAnsi="Arial" w:cs="Arial"/>
                <w:sz w:val="16"/>
                <w:szCs w:val="16"/>
              </w:rPr>
              <w:t>Despesas de Pessoal - Proventos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7C347C6" w14:textId="77777777" w:rsidR="00BA3275" w:rsidRDefault="00000000">
            <w:pPr>
              <w:jc w:val="right"/>
              <w:rPr>
                <w:rFonts w:eastAsia="Times New Roman"/>
              </w:rPr>
            </w:pPr>
            <w:r>
              <w:rPr>
                <w:rFonts w:ascii="Arial" w:eastAsia="Times New Roman" w:hAnsi="Arial" w:cs="Arial"/>
                <w:sz w:val="16"/>
                <w:szCs w:val="16"/>
              </w:rPr>
              <w:t>(2.573.084,85)</w:t>
            </w:r>
          </w:p>
        </w:tc>
      </w:tr>
      <w:tr w:rsidR="00BA3275" w14:paraId="35EA251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8E4356B" w14:textId="77777777" w:rsidR="00BA3275" w:rsidRDefault="00000000">
            <w:pPr>
              <w:rPr>
                <w:rFonts w:eastAsia="Times New Roman"/>
              </w:rPr>
            </w:pPr>
            <w:r>
              <w:rPr>
                <w:rFonts w:ascii="Arial" w:eastAsia="Times New Roman" w:hAnsi="Arial" w:cs="Arial"/>
                <w:sz w:val="16"/>
                <w:szCs w:val="16"/>
              </w:rPr>
              <w:t>Despesas de Pessoal - Treinamento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5E24E7E" w14:textId="77777777" w:rsidR="00BA3275" w:rsidRDefault="00000000">
            <w:pPr>
              <w:jc w:val="right"/>
              <w:rPr>
                <w:rFonts w:eastAsia="Times New Roman"/>
              </w:rPr>
            </w:pPr>
            <w:r>
              <w:rPr>
                <w:rFonts w:ascii="Arial" w:eastAsia="Times New Roman" w:hAnsi="Arial" w:cs="Arial"/>
                <w:sz w:val="16"/>
                <w:szCs w:val="16"/>
              </w:rPr>
              <w:t>(16.278,52)</w:t>
            </w:r>
          </w:p>
        </w:tc>
      </w:tr>
      <w:tr w:rsidR="00BA3275" w14:paraId="7B6AB07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29DE414" w14:textId="77777777" w:rsidR="00BA3275" w:rsidRDefault="00000000">
            <w:pPr>
              <w:rPr>
                <w:rFonts w:eastAsia="Times New Roman"/>
              </w:rPr>
            </w:pPr>
            <w:r>
              <w:rPr>
                <w:rFonts w:ascii="Arial" w:eastAsia="Times New Roman" w:hAnsi="Arial" w:cs="Arial"/>
                <w:sz w:val="16"/>
                <w:szCs w:val="16"/>
              </w:rPr>
              <w:t>Despesas de Remuneração de Estagiários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43D5B8" w14:textId="77777777" w:rsidR="00BA3275" w:rsidRDefault="00000000">
            <w:pPr>
              <w:jc w:val="right"/>
              <w:rPr>
                <w:rFonts w:eastAsia="Times New Roman"/>
              </w:rPr>
            </w:pPr>
            <w:r>
              <w:rPr>
                <w:rFonts w:ascii="Arial" w:eastAsia="Times New Roman" w:hAnsi="Arial" w:cs="Arial"/>
                <w:sz w:val="16"/>
                <w:szCs w:val="16"/>
              </w:rPr>
              <w:t>(18.449,78)</w:t>
            </w:r>
          </w:p>
        </w:tc>
      </w:tr>
      <w:tr w:rsidR="00BA3275" w14:paraId="64EEC8F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70076AF" w14:textId="77777777" w:rsidR="00BA3275"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7D5ECEA" w14:textId="77777777" w:rsidR="00BA3275" w:rsidRDefault="00000000">
            <w:pPr>
              <w:jc w:val="right"/>
              <w:rPr>
                <w:rFonts w:eastAsia="Times New Roman"/>
              </w:rPr>
            </w:pPr>
            <w:r>
              <w:rPr>
                <w:rFonts w:ascii="Arial" w:eastAsia="Times New Roman" w:hAnsi="Arial" w:cs="Arial"/>
                <w:b/>
                <w:bCs/>
                <w:sz w:val="16"/>
                <w:szCs w:val="16"/>
              </w:rPr>
              <w:t>(5.435.002,31)</w:t>
            </w:r>
          </w:p>
        </w:tc>
      </w:tr>
    </w:tbl>
    <w:p w14:paraId="7E76B63E" w14:textId="44422BC3" w:rsidR="00BA3275" w:rsidRDefault="00000000">
      <w:pPr>
        <w:pStyle w:val="NormalWeb"/>
      </w:pPr>
      <w:r>
        <w:rPr>
          <w:rFonts w:ascii="Arial" w:hAnsi="Arial" w:cs="Arial"/>
          <w:b/>
          <w:bCs/>
          <w:sz w:val="20"/>
          <w:szCs w:val="20"/>
        </w:rPr>
        <w:t>24. Outr</w:t>
      </w:r>
      <w:r w:rsidR="00557E7F">
        <w:rPr>
          <w:rFonts w:ascii="Arial" w:hAnsi="Arial" w:cs="Arial"/>
          <w:b/>
          <w:bCs/>
          <w:sz w:val="20"/>
          <w:szCs w:val="20"/>
        </w:rPr>
        <w:t>a</w:t>
      </w:r>
      <w:r>
        <w:rPr>
          <w:rFonts w:ascii="Arial" w:hAnsi="Arial" w:cs="Arial"/>
          <w:b/>
          <w:bCs/>
          <w:sz w:val="20"/>
          <w:szCs w:val="20"/>
        </w:rPr>
        <w:t xml:space="preserve">s Despesas Administrativas </w:t>
      </w:r>
    </w:p>
    <w:tbl>
      <w:tblPr>
        <w:tblW w:w="5000" w:type="pct"/>
        <w:tblCellMar>
          <w:left w:w="0" w:type="dxa"/>
          <w:right w:w="0" w:type="dxa"/>
        </w:tblCellMar>
        <w:tblLook w:val="04A0" w:firstRow="1" w:lastRow="0" w:firstColumn="1" w:lastColumn="0" w:noHBand="0" w:noVBand="1"/>
      </w:tblPr>
      <w:tblGrid>
        <w:gridCol w:w="7452"/>
        <w:gridCol w:w="2170"/>
      </w:tblGrid>
      <w:tr w:rsidR="00BA3275" w14:paraId="4C5740F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B3A65E1" w14:textId="77777777" w:rsidR="00BA3275"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A633E3A"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77366A1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A63196B" w14:textId="77777777" w:rsidR="00BA3275" w:rsidRDefault="00000000">
            <w:pPr>
              <w:rPr>
                <w:rFonts w:eastAsia="Times New Roman"/>
              </w:rPr>
            </w:pPr>
            <w:r>
              <w:rPr>
                <w:rFonts w:ascii="Arial" w:eastAsia="Times New Roman" w:hAnsi="Arial" w:cs="Arial"/>
                <w:sz w:val="16"/>
                <w:szCs w:val="16"/>
              </w:rPr>
              <w:t>Despesas de Água, Energia e Gás</w:t>
            </w:r>
          </w:p>
        </w:tc>
        <w:tc>
          <w:tcPr>
            <w:tcW w:w="0" w:type="auto"/>
            <w:tcBorders>
              <w:top w:val="outset" w:sz="6" w:space="0" w:color="auto"/>
              <w:left w:val="outset" w:sz="6" w:space="0" w:color="auto"/>
              <w:bottom w:val="outset" w:sz="6" w:space="0" w:color="auto"/>
              <w:right w:val="outset" w:sz="6" w:space="0" w:color="auto"/>
            </w:tcBorders>
            <w:vAlign w:val="center"/>
            <w:hideMark/>
          </w:tcPr>
          <w:p w14:paraId="56D2FCBB" w14:textId="77777777" w:rsidR="00BA3275" w:rsidRDefault="00000000">
            <w:pPr>
              <w:jc w:val="right"/>
              <w:rPr>
                <w:rFonts w:eastAsia="Times New Roman"/>
              </w:rPr>
            </w:pPr>
            <w:r>
              <w:rPr>
                <w:rFonts w:ascii="Arial" w:eastAsia="Times New Roman" w:hAnsi="Arial" w:cs="Arial"/>
                <w:sz w:val="16"/>
                <w:szCs w:val="16"/>
              </w:rPr>
              <w:t>(67.536,02)</w:t>
            </w:r>
          </w:p>
        </w:tc>
      </w:tr>
      <w:tr w:rsidR="00BA3275" w14:paraId="0213221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D921F71" w14:textId="77777777" w:rsidR="00BA3275" w:rsidRDefault="00000000">
            <w:pPr>
              <w:rPr>
                <w:rFonts w:eastAsia="Times New Roman"/>
              </w:rPr>
            </w:pPr>
            <w:r>
              <w:rPr>
                <w:rFonts w:ascii="Arial" w:eastAsia="Times New Roman" w:hAnsi="Arial" w:cs="Arial"/>
                <w:sz w:val="16"/>
                <w:szCs w:val="16"/>
              </w:rPr>
              <w:t>Despesas de Aluguéis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9CD3FBD" w14:textId="77777777" w:rsidR="00BA3275" w:rsidRDefault="00000000">
            <w:pPr>
              <w:jc w:val="right"/>
              <w:rPr>
                <w:rFonts w:eastAsia="Times New Roman"/>
              </w:rPr>
            </w:pPr>
            <w:r>
              <w:rPr>
                <w:rFonts w:ascii="Arial" w:eastAsia="Times New Roman" w:hAnsi="Arial" w:cs="Arial"/>
                <w:sz w:val="16"/>
                <w:szCs w:val="16"/>
              </w:rPr>
              <w:t>(58.156,68)</w:t>
            </w:r>
          </w:p>
        </w:tc>
      </w:tr>
      <w:tr w:rsidR="00BA3275" w14:paraId="3D16526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30F531A" w14:textId="77777777" w:rsidR="00BA3275" w:rsidRDefault="00000000">
            <w:pPr>
              <w:rPr>
                <w:rFonts w:eastAsia="Times New Roman"/>
              </w:rPr>
            </w:pPr>
            <w:r>
              <w:rPr>
                <w:rFonts w:ascii="Arial" w:eastAsia="Times New Roman" w:hAnsi="Arial" w:cs="Arial"/>
                <w:sz w:val="16"/>
                <w:szCs w:val="16"/>
              </w:rPr>
              <w:t>Despesas de Comunicações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DF3CD42" w14:textId="77777777" w:rsidR="00BA3275" w:rsidRDefault="00000000">
            <w:pPr>
              <w:jc w:val="right"/>
              <w:rPr>
                <w:rFonts w:eastAsia="Times New Roman"/>
              </w:rPr>
            </w:pPr>
            <w:r>
              <w:rPr>
                <w:rFonts w:ascii="Arial" w:eastAsia="Times New Roman" w:hAnsi="Arial" w:cs="Arial"/>
                <w:sz w:val="16"/>
                <w:szCs w:val="16"/>
              </w:rPr>
              <w:t>(64.732,48)</w:t>
            </w:r>
          </w:p>
        </w:tc>
      </w:tr>
      <w:tr w:rsidR="00BA3275" w14:paraId="08AC4A3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C639215" w14:textId="77777777" w:rsidR="00BA3275" w:rsidRDefault="00000000">
            <w:pPr>
              <w:rPr>
                <w:rFonts w:eastAsia="Times New Roman"/>
              </w:rPr>
            </w:pPr>
            <w:r>
              <w:rPr>
                <w:rFonts w:ascii="Arial" w:eastAsia="Times New Roman" w:hAnsi="Arial" w:cs="Arial"/>
                <w:sz w:val="16"/>
                <w:szCs w:val="16"/>
              </w:rPr>
              <w:t>Despesas de Manutenção e Conservação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32E7FB9B" w14:textId="77777777" w:rsidR="00BA3275" w:rsidRDefault="00000000">
            <w:pPr>
              <w:jc w:val="right"/>
              <w:rPr>
                <w:rFonts w:eastAsia="Times New Roman"/>
              </w:rPr>
            </w:pPr>
            <w:r>
              <w:rPr>
                <w:rFonts w:ascii="Arial" w:eastAsia="Times New Roman" w:hAnsi="Arial" w:cs="Arial"/>
                <w:sz w:val="16"/>
                <w:szCs w:val="16"/>
              </w:rPr>
              <w:t>(68.944,16)</w:t>
            </w:r>
          </w:p>
        </w:tc>
      </w:tr>
      <w:tr w:rsidR="00BA3275" w14:paraId="6C57AE6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4A70E52" w14:textId="77777777" w:rsidR="00BA3275" w:rsidRDefault="00000000">
            <w:pPr>
              <w:rPr>
                <w:rFonts w:eastAsia="Times New Roman"/>
              </w:rPr>
            </w:pPr>
            <w:r>
              <w:rPr>
                <w:rFonts w:ascii="Arial" w:eastAsia="Times New Roman" w:hAnsi="Arial" w:cs="Arial"/>
                <w:sz w:val="16"/>
                <w:szCs w:val="16"/>
              </w:rPr>
              <w:t>Despesas de Material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D356F" w14:textId="77777777" w:rsidR="00BA3275" w:rsidRDefault="00000000">
            <w:pPr>
              <w:jc w:val="right"/>
              <w:rPr>
                <w:rFonts w:eastAsia="Times New Roman"/>
              </w:rPr>
            </w:pPr>
            <w:r>
              <w:rPr>
                <w:rFonts w:ascii="Arial" w:eastAsia="Times New Roman" w:hAnsi="Arial" w:cs="Arial"/>
                <w:sz w:val="16"/>
                <w:szCs w:val="16"/>
              </w:rPr>
              <w:t>(53.373,62)</w:t>
            </w:r>
          </w:p>
        </w:tc>
      </w:tr>
      <w:tr w:rsidR="00BA3275" w14:paraId="5793E56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ACA7F67" w14:textId="77777777" w:rsidR="00BA3275" w:rsidRDefault="00000000">
            <w:pPr>
              <w:rPr>
                <w:rFonts w:eastAsia="Times New Roman"/>
              </w:rPr>
            </w:pPr>
            <w:r>
              <w:rPr>
                <w:rFonts w:ascii="Arial" w:eastAsia="Times New Roman" w:hAnsi="Arial" w:cs="Arial"/>
                <w:sz w:val="16"/>
                <w:szCs w:val="16"/>
              </w:rPr>
              <w:t>Despesas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5869877" w14:textId="77777777" w:rsidR="00BA3275" w:rsidRDefault="00000000">
            <w:pPr>
              <w:jc w:val="right"/>
              <w:rPr>
                <w:rFonts w:eastAsia="Times New Roman"/>
              </w:rPr>
            </w:pPr>
            <w:r>
              <w:rPr>
                <w:rFonts w:ascii="Arial" w:eastAsia="Times New Roman" w:hAnsi="Arial" w:cs="Arial"/>
                <w:sz w:val="16"/>
                <w:szCs w:val="16"/>
              </w:rPr>
              <w:t>(599.281,36)</w:t>
            </w:r>
          </w:p>
        </w:tc>
      </w:tr>
      <w:tr w:rsidR="00BA3275" w14:paraId="1BDDEA7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FD5320E" w14:textId="77777777" w:rsidR="00BA3275" w:rsidRDefault="00000000">
            <w:pPr>
              <w:rPr>
                <w:rFonts w:eastAsia="Times New Roman"/>
              </w:rPr>
            </w:pPr>
            <w:r>
              <w:rPr>
                <w:rFonts w:ascii="Arial" w:eastAsia="Times New Roman" w:hAnsi="Arial" w:cs="Arial"/>
                <w:sz w:val="16"/>
                <w:szCs w:val="16"/>
              </w:rPr>
              <w:t>Despesas de Promoções e Relações Públicas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0EE2A6A" w14:textId="77777777" w:rsidR="00BA3275" w:rsidRDefault="00000000">
            <w:pPr>
              <w:jc w:val="right"/>
              <w:rPr>
                <w:rFonts w:eastAsia="Times New Roman"/>
              </w:rPr>
            </w:pPr>
            <w:r>
              <w:rPr>
                <w:rFonts w:ascii="Arial" w:eastAsia="Times New Roman" w:hAnsi="Arial" w:cs="Arial"/>
                <w:sz w:val="16"/>
                <w:szCs w:val="16"/>
              </w:rPr>
              <w:t>(169.710,99)</w:t>
            </w:r>
          </w:p>
        </w:tc>
      </w:tr>
      <w:tr w:rsidR="00BA3275" w14:paraId="3594B59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B79B047" w14:textId="77777777" w:rsidR="00BA3275" w:rsidRDefault="00000000">
            <w:pPr>
              <w:rPr>
                <w:rFonts w:eastAsia="Times New Roman"/>
              </w:rPr>
            </w:pPr>
            <w:r>
              <w:rPr>
                <w:rFonts w:ascii="Arial" w:eastAsia="Times New Roman" w:hAnsi="Arial" w:cs="Arial"/>
                <w:sz w:val="16"/>
                <w:szCs w:val="16"/>
              </w:rPr>
              <w:t>Despesas de Propaganda e Publicidade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766C58B9" w14:textId="77777777" w:rsidR="00BA3275" w:rsidRDefault="00000000">
            <w:pPr>
              <w:jc w:val="right"/>
              <w:rPr>
                <w:rFonts w:eastAsia="Times New Roman"/>
              </w:rPr>
            </w:pPr>
            <w:r>
              <w:rPr>
                <w:rFonts w:ascii="Arial" w:eastAsia="Times New Roman" w:hAnsi="Arial" w:cs="Arial"/>
                <w:sz w:val="16"/>
                <w:szCs w:val="16"/>
              </w:rPr>
              <w:t>(48.110,96)</w:t>
            </w:r>
          </w:p>
        </w:tc>
      </w:tr>
      <w:tr w:rsidR="00BA3275" w14:paraId="5931AFE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507D3A7" w14:textId="77777777" w:rsidR="00BA3275" w:rsidRDefault="00000000">
            <w:pPr>
              <w:rPr>
                <w:rFonts w:eastAsia="Times New Roman"/>
              </w:rPr>
            </w:pPr>
            <w:r>
              <w:rPr>
                <w:rFonts w:ascii="Arial" w:eastAsia="Times New Roman" w:hAnsi="Arial" w:cs="Arial"/>
                <w:sz w:val="16"/>
                <w:szCs w:val="16"/>
              </w:rPr>
              <w:t>Despesas de Publicações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4F6710" w14:textId="77777777" w:rsidR="00BA3275" w:rsidRDefault="00000000">
            <w:pPr>
              <w:jc w:val="right"/>
              <w:rPr>
                <w:rFonts w:eastAsia="Times New Roman"/>
              </w:rPr>
            </w:pPr>
            <w:r>
              <w:rPr>
                <w:rFonts w:ascii="Arial" w:eastAsia="Times New Roman" w:hAnsi="Arial" w:cs="Arial"/>
                <w:sz w:val="16"/>
                <w:szCs w:val="16"/>
              </w:rPr>
              <w:t>(1.878,46)</w:t>
            </w:r>
          </w:p>
        </w:tc>
      </w:tr>
      <w:tr w:rsidR="00BA3275" w14:paraId="43FAF70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235D149" w14:textId="77777777" w:rsidR="00BA3275" w:rsidRDefault="00000000">
            <w:pPr>
              <w:rPr>
                <w:rFonts w:eastAsia="Times New Roman"/>
              </w:rPr>
            </w:pPr>
            <w:r>
              <w:rPr>
                <w:rFonts w:ascii="Arial" w:eastAsia="Times New Roman" w:hAnsi="Arial" w:cs="Arial"/>
                <w:sz w:val="16"/>
                <w:szCs w:val="16"/>
              </w:rPr>
              <w:t>Despesas de Seguros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5AAC957" w14:textId="77777777" w:rsidR="00BA3275" w:rsidRDefault="00000000">
            <w:pPr>
              <w:jc w:val="right"/>
              <w:rPr>
                <w:rFonts w:eastAsia="Times New Roman"/>
              </w:rPr>
            </w:pPr>
            <w:r>
              <w:rPr>
                <w:rFonts w:ascii="Arial" w:eastAsia="Times New Roman" w:hAnsi="Arial" w:cs="Arial"/>
                <w:sz w:val="16"/>
                <w:szCs w:val="16"/>
              </w:rPr>
              <w:t>(14.293,09)</w:t>
            </w:r>
          </w:p>
        </w:tc>
      </w:tr>
      <w:tr w:rsidR="00BA3275" w14:paraId="20C3ED5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DE4B5DF" w14:textId="77777777" w:rsidR="00BA3275" w:rsidRDefault="00000000">
            <w:pPr>
              <w:rPr>
                <w:rFonts w:eastAsia="Times New Roman"/>
              </w:rPr>
            </w:pPr>
            <w:r>
              <w:rPr>
                <w:rFonts w:ascii="Arial" w:eastAsia="Times New Roman" w:hAnsi="Arial" w:cs="Arial"/>
                <w:sz w:val="16"/>
                <w:szCs w:val="16"/>
              </w:rPr>
              <w:t>Despesas de Serviços do Sistema Financeiro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1A21E110" w14:textId="77777777" w:rsidR="00BA3275" w:rsidRDefault="00000000">
            <w:pPr>
              <w:jc w:val="right"/>
              <w:rPr>
                <w:rFonts w:eastAsia="Times New Roman"/>
              </w:rPr>
            </w:pPr>
            <w:r>
              <w:rPr>
                <w:rFonts w:ascii="Arial" w:eastAsia="Times New Roman" w:hAnsi="Arial" w:cs="Arial"/>
                <w:sz w:val="16"/>
                <w:szCs w:val="16"/>
              </w:rPr>
              <w:t>(427.829,18)</w:t>
            </w:r>
          </w:p>
        </w:tc>
      </w:tr>
      <w:tr w:rsidR="00BA3275" w14:paraId="0838B98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775FEBA" w14:textId="77777777" w:rsidR="00BA3275" w:rsidRDefault="00000000">
            <w:pPr>
              <w:rPr>
                <w:rFonts w:eastAsia="Times New Roman"/>
              </w:rPr>
            </w:pPr>
            <w:r>
              <w:rPr>
                <w:rFonts w:ascii="Arial" w:eastAsia="Times New Roman" w:hAnsi="Arial" w:cs="Arial"/>
                <w:sz w:val="16"/>
                <w:szCs w:val="16"/>
              </w:rPr>
              <w:t>Despesas de Serviços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9D54D" w14:textId="77777777" w:rsidR="00BA3275" w:rsidRDefault="00000000">
            <w:pPr>
              <w:jc w:val="right"/>
              <w:rPr>
                <w:rFonts w:eastAsia="Times New Roman"/>
              </w:rPr>
            </w:pPr>
            <w:r>
              <w:rPr>
                <w:rFonts w:ascii="Arial" w:eastAsia="Times New Roman" w:hAnsi="Arial" w:cs="Arial"/>
                <w:sz w:val="16"/>
                <w:szCs w:val="16"/>
              </w:rPr>
              <w:t>(105.858,75)</w:t>
            </w:r>
          </w:p>
        </w:tc>
      </w:tr>
      <w:tr w:rsidR="00BA3275" w14:paraId="5E78450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33124C4" w14:textId="77777777" w:rsidR="00BA3275" w:rsidRDefault="00000000">
            <w:pPr>
              <w:rPr>
                <w:rFonts w:eastAsia="Times New Roman"/>
              </w:rPr>
            </w:pPr>
            <w:r>
              <w:rPr>
                <w:rFonts w:ascii="Arial" w:eastAsia="Times New Roman" w:hAnsi="Arial" w:cs="Arial"/>
                <w:sz w:val="16"/>
                <w:szCs w:val="16"/>
              </w:rPr>
              <w:t>Despesas de Serviços de Vigilância 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0F5C2EB3" w14:textId="77777777" w:rsidR="00BA3275" w:rsidRDefault="00000000">
            <w:pPr>
              <w:jc w:val="right"/>
              <w:rPr>
                <w:rFonts w:eastAsia="Times New Roman"/>
              </w:rPr>
            </w:pPr>
            <w:r>
              <w:rPr>
                <w:rFonts w:ascii="Arial" w:eastAsia="Times New Roman" w:hAnsi="Arial" w:cs="Arial"/>
                <w:sz w:val="16"/>
                <w:szCs w:val="16"/>
              </w:rPr>
              <w:t>(154.801,11)</w:t>
            </w:r>
          </w:p>
        </w:tc>
      </w:tr>
      <w:tr w:rsidR="00BA3275" w14:paraId="3E8AE5A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6FDBACB" w14:textId="77777777" w:rsidR="00BA3275" w:rsidRDefault="00000000">
            <w:pPr>
              <w:rPr>
                <w:rFonts w:eastAsia="Times New Roman"/>
              </w:rPr>
            </w:pPr>
            <w:r>
              <w:rPr>
                <w:rFonts w:ascii="Arial" w:eastAsia="Times New Roman" w:hAnsi="Arial" w:cs="Arial"/>
                <w:sz w:val="16"/>
                <w:szCs w:val="16"/>
              </w:rPr>
              <w:t>Despesas de Serviços Técnicos Especializados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F3EAFF" w14:textId="77777777" w:rsidR="00BA3275" w:rsidRDefault="00000000">
            <w:pPr>
              <w:jc w:val="right"/>
              <w:rPr>
                <w:rFonts w:eastAsia="Times New Roman"/>
              </w:rPr>
            </w:pPr>
            <w:r>
              <w:rPr>
                <w:rFonts w:ascii="Arial" w:eastAsia="Times New Roman" w:hAnsi="Arial" w:cs="Arial"/>
                <w:sz w:val="16"/>
                <w:szCs w:val="16"/>
              </w:rPr>
              <w:t>(227.276,90)</w:t>
            </w:r>
          </w:p>
        </w:tc>
      </w:tr>
      <w:tr w:rsidR="00BA3275" w14:paraId="739E8EC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199B154" w14:textId="77777777" w:rsidR="00BA3275" w:rsidRDefault="00000000">
            <w:pPr>
              <w:rPr>
                <w:rFonts w:eastAsia="Times New Roman"/>
              </w:rPr>
            </w:pPr>
            <w:r>
              <w:rPr>
                <w:rFonts w:ascii="Arial" w:eastAsia="Times New Roman" w:hAnsi="Arial" w:cs="Arial"/>
                <w:sz w:val="16"/>
                <w:szCs w:val="16"/>
              </w:rPr>
              <w:t>Despesas de 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034C60C" w14:textId="77777777" w:rsidR="00BA3275" w:rsidRDefault="00000000">
            <w:pPr>
              <w:jc w:val="right"/>
              <w:rPr>
                <w:rFonts w:eastAsia="Times New Roman"/>
              </w:rPr>
            </w:pPr>
            <w:r>
              <w:rPr>
                <w:rFonts w:ascii="Arial" w:eastAsia="Times New Roman" w:hAnsi="Arial" w:cs="Arial"/>
                <w:sz w:val="16"/>
                <w:szCs w:val="16"/>
              </w:rPr>
              <w:t>(111.024,82)</w:t>
            </w:r>
          </w:p>
        </w:tc>
      </w:tr>
      <w:tr w:rsidR="00BA3275" w14:paraId="18A629B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4D94383" w14:textId="77777777" w:rsidR="00BA3275" w:rsidRDefault="00000000">
            <w:pPr>
              <w:rPr>
                <w:rFonts w:eastAsia="Times New Roman"/>
              </w:rPr>
            </w:pPr>
            <w:r>
              <w:rPr>
                <w:rFonts w:ascii="Arial" w:eastAsia="Times New Roman" w:hAnsi="Arial" w:cs="Arial"/>
                <w:sz w:val="16"/>
                <w:szCs w:val="16"/>
              </w:rPr>
              <w:t>Despesas de Viagem no País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FFC7F0" w14:textId="77777777" w:rsidR="00BA3275" w:rsidRDefault="00000000">
            <w:pPr>
              <w:jc w:val="right"/>
              <w:rPr>
                <w:rFonts w:eastAsia="Times New Roman"/>
              </w:rPr>
            </w:pPr>
            <w:r>
              <w:rPr>
                <w:rFonts w:ascii="Arial" w:eastAsia="Times New Roman" w:hAnsi="Arial" w:cs="Arial"/>
                <w:sz w:val="16"/>
                <w:szCs w:val="16"/>
              </w:rPr>
              <w:t>(41.608,91)</w:t>
            </w:r>
          </w:p>
        </w:tc>
      </w:tr>
      <w:tr w:rsidR="00BA3275" w14:paraId="60A394D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99C128D" w14:textId="77777777" w:rsidR="00BA3275" w:rsidRDefault="00000000">
            <w:pPr>
              <w:rPr>
                <w:rFonts w:eastAsia="Times New Roman"/>
              </w:rPr>
            </w:pPr>
            <w:r>
              <w:rPr>
                <w:rFonts w:ascii="Arial" w:eastAsia="Times New Roman" w:hAnsi="Arial" w:cs="Arial"/>
                <w:sz w:val="16"/>
                <w:szCs w:val="16"/>
              </w:rPr>
              <w:t>Despesas de Amortização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3806B5D" w14:textId="77777777" w:rsidR="00BA3275" w:rsidRDefault="00000000">
            <w:pPr>
              <w:jc w:val="right"/>
              <w:rPr>
                <w:rFonts w:eastAsia="Times New Roman"/>
              </w:rPr>
            </w:pPr>
            <w:r>
              <w:rPr>
                <w:rFonts w:ascii="Arial" w:eastAsia="Times New Roman" w:hAnsi="Arial" w:cs="Arial"/>
                <w:sz w:val="16"/>
                <w:szCs w:val="16"/>
              </w:rPr>
              <w:t>(2.006,58)</w:t>
            </w:r>
          </w:p>
        </w:tc>
      </w:tr>
      <w:tr w:rsidR="00BA3275" w14:paraId="2A49D14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E91F5EF" w14:textId="77777777" w:rsidR="00BA3275" w:rsidRDefault="00000000">
            <w:pPr>
              <w:rPr>
                <w:rFonts w:eastAsia="Times New Roman"/>
              </w:rPr>
            </w:pPr>
            <w:r>
              <w:rPr>
                <w:rFonts w:ascii="Arial" w:eastAsia="Times New Roman" w:hAnsi="Arial" w:cs="Arial"/>
                <w:sz w:val="16"/>
                <w:szCs w:val="16"/>
              </w:rPr>
              <w:t>Despesas de Depreciação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4DF5D" w14:textId="77777777" w:rsidR="00BA3275" w:rsidRDefault="00000000">
            <w:pPr>
              <w:jc w:val="right"/>
              <w:rPr>
                <w:rFonts w:eastAsia="Times New Roman"/>
              </w:rPr>
            </w:pPr>
            <w:r>
              <w:rPr>
                <w:rFonts w:ascii="Arial" w:eastAsia="Times New Roman" w:hAnsi="Arial" w:cs="Arial"/>
                <w:sz w:val="16"/>
                <w:szCs w:val="16"/>
              </w:rPr>
              <w:t>(244.757,19)</w:t>
            </w:r>
          </w:p>
        </w:tc>
      </w:tr>
      <w:tr w:rsidR="00BA3275" w14:paraId="45D6A75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CEE1FC7" w14:textId="1D3167B2" w:rsidR="00BA3275" w:rsidRDefault="00000000">
            <w:pPr>
              <w:rPr>
                <w:rFonts w:eastAsia="Times New Roman"/>
              </w:rPr>
            </w:pPr>
            <w:r>
              <w:rPr>
                <w:rFonts w:ascii="Arial" w:eastAsia="Times New Roman" w:hAnsi="Arial" w:cs="Arial"/>
                <w:sz w:val="16"/>
                <w:szCs w:val="16"/>
              </w:rPr>
              <w:t>Outras Despesas Administrativas</w:t>
            </w:r>
            <w:r w:rsidR="002D2F67">
              <w:rPr>
                <w:rFonts w:ascii="Arial" w:eastAsia="Times New Roman" w:hAnsi="Arial" w:cs="Arial"/>
                <w:sz w:val="16"/>
                <w:szCs w:val="16"/>
              </w:rPr>
              <w:t xml:space="preserve"> (24.1)</w:t>
            </w:r>
          </w:p>
        </w:tc>
        <w:tc>
          <w:tcPr>
            <w:tcW w:w="0" w:type="auto"/>
            <w:tcBorders>
              <w:top w:val="outset" w:sz="6" w:space="0" w:color="auto"/>
              <w:left w:val="outset" w:sz="6" w:space="0" w:color="auto"/>
              <w:bottom w:val="outset" w:sz="6" w:space="0" w:color="auto"/>
              <w:right w:val="outset" w:sz="6" w:space="0" w:color="auto"/>
            </w:tcBorders>
            <w:vAlign w:val="center"/>
            <w:hideMark/>
          </w:tcPr>
          <w:p w14:paraId="0645FBB9" w14:textId="77777777" w:rsidR="00BA3275" w:rsidRDefault="00000000">
            <w:pPr>
              <w:jc w:val="right"/>
              <w:rPr>
                <w:rFonts w:eastAsia="Times New Roman"/>
              </w:rPr>
            </w:pPr>
            <w:r>
              <w:rPr>
                <w:rFonts w:ascii="Arial" w:eastAsia="Times New Roman" w:hAnsi="Arial" w:cs="Arial"/>
                <w:sz w:val="16"/>
                <w:szCs w:val="16"/>
              </w:rPr>
              <w:t>(969.099,52)</w:t>
            </w:r>
          </w:p>
        </w:tc>
      </w:tr>
      <w:tr w:rsidR="00BA3275" w14:paraId="64BCDDA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6DFC612" w14:textId="77777777" w:rsidR="00BA3275"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1BE8338" w14:textId="77777777" w:rsidR="00BA3275" w:rsidRDefault="00000000">
            <w:pPr>
              <w:jc w:val="right"/>
              <w:rPr>
                <w:rFonts w:eastAsia="Times New Roman"/>
              </w:rPr>
            </w:pPr>
            <w:r>
              <w:rPr>
                <w:rFonts w:ascii="Arial" w:eastAsia="Times New Roman" w:hAnsi="Arial" w:cs="Arial"/>
                <w:b/>
                <w:bCs/>
                <w:sz w:val="16"/>
                <w:szCs w:val="16"/>
              </w:rPr>
              <w:t>(3.430.280,78)</w:t>
            </w:r>
          </w:p>
        </w:tc>
      </w:tr>
    </w:tbl>
    <w:p w14:paraId="7DA15F6B" w14:textId="77777777" w:rsidR="00BA3275" w:rsidRDefault="00000000">
      <w:pPr>
        <w:pStyle w:val="NormalWeb"/>
      </w:pPr>
      <w:r>
        <w:rPr>
          <w:rFonts w:ascii="Arial" w:hAnsi="Arial" w:cs="Arial"/>
          <w:b/>
          <w:bCs/>
          <w:sz w:val="20"/>
          <w:szCs w:val="20"/>
        </w:rPr>
        <w:t xml:space="preserve">24.1 Outras Despesas Administrativas </w:t>
      </w:r>
    </w:p>
    <w:p w14:paraId="32D6846F" w14:textId="77777777" w:rsidR="00BA3275" w:rsidRDefault="00000000">
      <w:pPr>
        <w:pStyle w:val="NormalWeb"/>
        <w:jc w:val="both"/>
        <w:rPr>
          <w:rFonts w:ascii="Arial" w:hAnsi="Arial" w:cs="Arial"/>
          <w:sz w:val="20"/>
          <w:szCs w:val="20"/>
        </w:rPr>
      </w:pPr>
      <w:r>
        <w:rPr>
          <w:rFonts w:ascii="Arial" w:hAnsi="Arial" w:cs="Arial"/>
          <w:sz w:val="20"/>
          <w:szCs w:val="20"/>
        </w:rPr>
        <w:t>Os saldos das outras despesas administrativas estão compostos:</w:t>
      </w:r>
    </w:p>
    <w:p w14:paraId="6237FADB" w14:textId="77777777" w:rsidR="00C01518" w:rsidRDefault="00C01518">
      <w:pPr>
        <w:pStyle w:val="NormalWeb"/>
        <w:jc w:val="both"/>
      </w:pPr>
    </w:p>
    <w:tbl>
      <w:tblPr>
        <w:tblW w:w="5000" w:type="pct"/>
        <w:tblCellMar>
          <w:left w:w="0" w:type="dxa"/>
          <w:right w:w="0" w:type="dxa"/>
        </w:tblCellMar>
        <w:tblLook w:val="04A0" w:firstRow="1" w:lastRow="0" w:firstColumn="1" w:lastColumn="0" w:noHBand="0" w:noVBand="1"/>
      </w:tblPr>
      <w:tblGrid>
        <w:gridCol w:w="7689"/>
        <w:gridCol w:w="1933"/>
      </w:tblGrid>
      <w:tr w:rsidR="00BA3275" w14:paraId="6754452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AA353D7" w14:textId="77777777" w:rsidR="00BA3275" w:rsidRDefault="00000000">
            <w:pPr>
              <w:jc w:val="center"/>
              <w:rPr>
                <w:rFonts w:eastAsia="Times New Roman"/>
              </w:rPr>
            </w:pPr>
            <w:r>
              <w:rPr>
                <w:rFonts w:ascii="Arial" w:eastAsia="Times New Roman" w:hAnsi="Arial" w:cs="Arial"/>
                <w:b/>
                <w:bCs/>
                <w:sz w:val="16"/>
                <w:szCs w:val="16"/>
              </w:rPr>
              <w:lastRenderedPageBreak/>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6D43DD1"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1C96D94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6EECFC7" w14:textId="77777777" w:rsidR="00BA3275" w:rsidRDefault="00000000">
            <w:pPr>
              <w:rPr>
                <w:rFonts w:eastAsia="Times New Roman"/>
              </w:rPr>
            </w:pPr>
            <w:r>
              <w:rPr>
                <w:rFonts w:ascii="Arial" w:eastAsia="Times New Roman" w:hAnsi="Arial" w:cs="Arial"/>
                <w:sz w:val="16"/>
                <w:szCs w:val="16"/>
              </w:rPr>
              <w:t>Contribuição Sindical Patronal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2A5C582" w14:textId="77777777" w:rsidR="00BA3275" w:rsidRDefault="00000000">
            <w:pPr>
              <w:jc w:val="right"/>
              <w:rPr>
                <w:rFonts w:eastAsia="Times New Roman"/>
              </w:rPr>
            </w:pPr>
            <w:r>
              <w:rPr>
                <w:rFonts w:ascii="Arial" w:eastAsia="Times New Roman" w:hAnsi="Arial" w:cs="Arial"/>
                <w:sz w:val="16"/>
                <w:szCs w:val="16"/>
              </w:rPr>
              <w:t>(467,11)</w:t>
            </w:r>
          </w:p>
        </w:tc>
      </w:tr>
      <w:tr w:rsidR="00BA3275" w14:paraId="00E66F4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21961F6" w14:textId="77777777" w:rsidR="00BA3275" w:rsidRDefault="00000000">
            <w:pPr>
              <w:rPr>
                <w:rFonts w:eastAsia="Times New Roman"/>
              </w:rPr>
            </w:pPr>
            <w:r>
              <w:rPr>
                <w:rFonts w:ascii="Arial" w:eastAsia="Times New Roman" w:hAnsi="Arial" w:cs="Arial"/>
                <w:sz w:val="16"/>
                <w:szCs w:val="16"/>
              </w:rPr>
              <w:t>Emolumentos Judiciais e Cartorários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2D001EC" w14:textId="77777777" w:rsidR="00BA3275" w:rsidRDefault="00000000">
            <w:pPr>
              <w:jc w:val="right"/>
              <w:rPr>
                <w:rFonts w:eastAsia="Times New Roman"/>
              </w:rPr>
            </w:pPr>
            <w:r>
              <w:rPr>
                <w:rFonts w:ascii="Arial" w:eastAsia="Times New Roman" w:hAnsi="Arial" w:cs="Arial"/>
                <w:sz w:val="16"/>
                <w:szCs w:val="16"/>
              </w:rPr>
              <w:t>(37.631,91)</w:t>
            </w:r>
          </w:p>
        </w:tc>
      </w:tr>
      <w:tr w:rsidR="00BA3275" w14:paraId="70E8344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3471D7C" w14:textId="77777777" w:rsidR="00BA3275" w:rsidRDefault="00000000">
            <w:pPr>
              <w:rPr>
                <w:rFonts w:eastAsia="Times New Roman"/>
              </w:rPr>
            </w:pPr>
            <w:r>
              <w:rPr>
                <w:rFonts w:ascii="Arial" w:eastAsia="Times New Roman" w:hAnsi="Arial" w:cs="Arial"/>
                <w:sz w:val="16"/>
                <w:szCs w:val="16"/>
              </w:rPr>
              <w:t>Copa/Cozinha</w:t>
            </w:r>
          </w:p>
        </w:tc>
        <w:tc>
          <w:tcPr>
            <w:tcW w:w="0" w:type="auto"/>
            <w:tcBorders>
              <w:top w:val="outset" w:sz="6" w:space="0" w:color="auto"/>
              <w:left w:val="outset" w:sz="6" w:space="0" w:color="auto"/>
              <w:bottom w:val="outset" w:sz="6" w:space="0" w:color="auto"/>
              <w:right w:val="outset" w:sz="6" w:space="0" w:color="auto"/>
            </w:tcBorders>
            <w:vAlign w:val="center"/>
            <w:hideMark/>
          </w:tcPr>
          <w:p w14:paraId="7A42D4BC" w14:textId="77777777" w:rsidR="00BA3275" w:rsidRDefault="00000000">
            <w:pPr>
              <w:jc w:val="right"/>
              <w:rPr>
                <w:rFonts w:eastAsia="Times New Roman"/>
              </w:rPr>
            </w:pPr>
            <w:r>
              <w:rPr>
                <w:rFonts w:ascii="Arial" w:eastAsia="Times New Roman" w:hAnsi="Arial" w:cs="Arial"/>
                <w:sz w:val="16"/>
                <w:szCs w:val="16"/>
              </w:rPr>
              <w:t>(5.542,96)</w:t>
            </w:r>
          </w:p>
        </w:tc>
      </w:tr>
      <w:tr w:rsidR="00BA3275" w14:paraId="07CE152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72A99AE" w14:textId="77777777" w:rsidR="00BA3275" w:rsidRDefault="00000000">
            <w:pPr>
              <w:rPr>
                <w:rFonts w:eastAsia="Times New Roman"/>
              </w:rPr>
            </w:pPr>
            <w:r>
              <w:rPr>
                <w:rFonts w:ascii="Arial" w:eastAsia="Times New Roman" w:hAnsi="Arial" w:cs="Arial"/>
                <w:sz w:val="16"/>
                <w:szCs w:val="16"/>
              </w:rPr>
              <w:t>Lanches e Refeições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85674DD" w14:textId="77777777" w:rsidR="00BA3275" w:rsidRDefault="00000000">
            <w:pPr>
              <w:jc w:val="right"/>
              <w:rPr>
                <w:rFonts w:eastAsia="Times New Roman"/>
              </w:rPr>
            </w:pPr>
            <w:r>
              <w:rPr>
                <w:rFonts w:ascii="Arial" w:eastAsia="Times New Roman" w:hAnsi="Arial" w:cs="Arial"/>
                <w:sz w:val="16"/>
                <w:szCs w:val="16"/>
              </w:rPr>
              <w:t>(44.509,52)</w:t>
            </w:r>
          </w:p>
        </w:tc>
      </w:tr>
      <w:tr w:rsidR="00BA3275" w14:paraId="7ED3A55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80E7554" w14:textId="77777777" w:rsidR="00BA3275" w:rsidRDefault="00000000">
            <w:pPr>
              <w:rPr>
                <w:rFonts w:eastAsia="Times New Roman"/>
              </w:rPr>
            </w:pPr>
            <w:r>
              <w:rPr>
                <w:rFonts w:ascii="Arial" w:eastAsia="Times New Roman" w:hAnsi="Arial" w:cs="Arial"/>
                <w:sz w:val="16"/>
                <w:szCs w:val="16"/>
              </w:rPr>
              <w:t>Uniformes e Vestuários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B7CA2B" w14:textId="77777777" w:rsidR="00BA3275" w:rsidRDefault="00000000">
            <w:pPr>
              <w:jc w:val="right"/>
              <w:rPr>
                <w:rFonts w:eastAsia="Times New Roman"/>
              </w:rPr>
            </w:pPr>
            <w:r>
              <w:rPr>
                <w:rFonts w:ascii="Arial" w:eastAsia="Times New Roman" w:hAnsi="Arial" w:cs="Arial"/>
                <w:sz w:val="16"/>
                <w:szCs w:val="16"/>
              </w:rPr>
              <w:t>(3.448,00)</w:t>
            </w:r>
          </w:p>
        </w:tc>
      </w:tr>
      <w:tr w:rsidR="00BA3275" w14:paraId="4BE9B8B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87BE782" w14:textId="77777777" w:rsidR="00BA3275" w:rsidRDefault="00000000">
            <w:pPr>
              <w:rPr>
                <w:rFonts w:eastAsia="Times New Roman"/>
              </w:rPr>
            </w:pPr>
            <w:r>
              <w:rPr>
                <w:rFonts w:ascii="Arial" w:eastAsia="Times New Roman" w:hAnsi="Arial" w:cs="Arial"/>
                <w:sz w:val="16"/>
                <w:szCs w:val="16"/>
              </w:rPr>
              <w:t>Contribuição a OCE</w:t>
            </w:r>
          </w:p>
        </w:tc>
        <w:tc>
          <w:tcPr>
            <w:tcW w:w="0" w:type="auto"/>
            <w:tcBorders>
              <w:top w:val="outset" w:sz="6" w:space="0" w:color="auto"/>
              <w:left w:val="outset" w:sz="6" w:space="0" w:color="auto"/>
              <w:bottom w:val="outset" w:sz="6" w:space="0" w:color="auto"/>
              <w:right w:val="outset" w:sz="6" w:space="0" w:color="auto"/>
            </w:tcBorders>
            <w:vAlign w:val="center"/>
            <w:hideMark/>
          </w:tcPr>
          <w:p w14:paraId="646D307B" w14:textId="77777777" w:rsidR="00BA3275" w:rsidRDefault="00000000">
            <w:pPr>
              <w:jc w:val="right"/>
              <w:rPr>
                <w:rFonts w:eastAsia="Times New Roman"/>
              </w:rPr>
            </w:pPr>
            <w:r>
              <w:rPr>
                <w:rFonts w:ascii="Arial" w:eastAsia="Times New Roman" w:hAnsi="Arial" w:cs="Arial"/>
                <w:sz w:val="16"/>
                <w:szCs w:val="16"/>
              </w:rPr>
              <w:t>(72.252,00)</w:t>
            </w:r>
          </w:p>
        </w:tc>
      </w:tr>
      <w:tr w:rsidR="00BA3275" w14:paraId="523D76D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0615DF6" w14:textId="77777777" w:rsidR="00BA3275" w:rsidRDefault="00000000">
            <w:pPr>
              <w:rPr>
                <w:rFonts w:eastAsia="Times New Roman"/>
              </w:rPr>
            </w:pPr>
            <w:r>
              <w:rPr>
                <w:rFonts w:ascii="Arial" w:eastAsia="Times New Roman" w:hAnsi="Arial" w:cs="Arial"/>
                <w:sz w:val="16"/>
                <w:szCs w:val="16"/>
              </w:rPr>
              <w:t>Medicamentos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5E99C3" w14:textId="77777777" w:rsidR="00BA3275" w:rsidRDefault="00000000">
            <w:pPr>
              <w:jc w:val="right"/>
              <w:rPr>
                <w:rFonts w:eastAsia="Times New Roman"/>
              </w:rPr>
            </w:pPr>
            <w:r>
              <w:rPr>
                <w:rFonts w:ascii="Arial" w:eastAsia="Times New Roman" w:hAnsi="Arial" w:cs="Arial"/>
                <w:sz w:val="16"/>
                <w:szCs w:val="16"/>
              </w:rPr>
              <w:t>(1.054,12)</w:t>
            </w:r>
          </w:p>
        </w:tc>
      </w:tr>
      <w:tr w:rsidR="00BA3275" w14:paraId="126F2DC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B046435" w14:textId="77777777" w:rsidR="00BA3275" w:rsidRDefault="00000000">
            <w:pPr>
              <w:rPr>
                <w:rFonts w:eastAsia="Times New Roman"/>
              </w:rPr>
            </w:pPr>
            <w:r>
              <w:rPr>
                <w:rFonts w:ascii="Arial" w:eastAsia="Times New Roman" w:hAnsi="Arial" w:cs="Arial"/>
                <w:sz w:val="16"/>
                <w:szCs w:val="16"/>
              </w:rPr>
              <w:t>Mensalidades Diversas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84F9C8" w14:textId="77777777" w:rsidR="00BA3275" w:rsidRDefault="00000000">
            <w:pPr>
              <w:jc w:val="right"/>
              <w:rPr>
                <w:rFonts w:eastAsia="Times New Roman"/>
              </w:rPr>
            </w:pPr>
            <w:r>
              <w:rPr>
                <w:rFonts w:ascii="Arial" w:eastAsia="Times New Roman" w:hAnsi="Arial" w:cs="Arial"/>
                <w:sz w:val="16"/>
                <w:szCs w:val="16"/>
              </w:rPr>
              <w:t>(1.867,90)</w:t>
            </w:r>
          </w:p>
        </w:tc>
      </w:tr>
      <w:tr w:rsidR="00BA3275" w14:paraId="18A2638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E3CB12B" w14:textId="77777777" w:rsidR="00BA3275" w:rsidRDefault="00000000">
            <w:pPr>
              <w:rPr>
                <w:rFonts w:eastAsia="Times New Roman"/>
              </w:rPr>
            </w:pPr>
            <w:r>
              <w:rPr>
                <w:rFonts w:ascii="Arial" w:eastAsia="Times New Roman" w:hAnsi="Arial" w:cs="Arial"/>
                <w:sz w:val="16"/>
                <w:szCs w:val="16"/>
              </w:rPr>
              <w:t>Rateio de Despesas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9659218" w14:textId="77777777" w:rsidR="00BA3275" w:rsidRDefault="00000000">
            <w:pPr>
              <w:jc w:val="right"/>
              <w:rPr>
                <w:rFonts w:eastAsia="Times New Roman"/>
              </w:rPr>
            </w:pPr>
            <w:r>
              <w:rPr>
                <w:rFonts w:ascii="Arial" w:eastAsia="Times New Roman" w:hAnsi="Arial" w:cs="Arial"/>
                <w:sz w:val="16"/>
                <w:szCs w:val="16"/>
              </w:rPr>
              <w:t>(576.961,53)</w:t>
            </w:r>
          </w:p>
        </w:tc>
      </w:tr>
      <w:tr w:rsidR="00BA3275" w14:paraId="52F5BEA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8D136D1" w14:textId="77777777" w:rsidR="00BA3275" w:rsidRDefault="00000000">
            <w:pPr>
              <w:rPr>
                <w:rFonts w:eastAsia="Times New Roman"/>
              </w:rPr>
            </w:pPr>
            <w:r>
              <w:rPr>
                <w:rFonts w:ascii="Arial" w:eastAsia="Times New Roman" w:hAnsi="Arial" w:cs="Arial"/>
                <w:sz w:val="16"/>
                <w:szCs w:val="16"/>
              </w:rPr>
              <w:t>Rateio de Despesa ADM do Sicoob - Confederação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D30C4AB" w14:textId="77777777" w:rsidR="00BA3275" w:rsidRDefault="00000000">
            <w:pPr>
              <w:jc w:val="right"/>
              <w:rPr>
                <w:rFonts w:eastAsia="Times New Roman"/>
              </w:rPr>
            </w:pPr>
            <w:r>
              <w:rPr>
                <w:rFonts w:ascii="Arial" w:eastAsia="Times New Roman" w:hAnsi="Arial" w:cs="Arial"/>
                <w:sz w:val="16"/>
                <w:szCs w:val="16"/>
              </w:rPr>
              <w:t>(113.285,58)</w:t>
            </w:r>
          </w:p>
        </w:tc>
      </w:tr>
      <w:tr w:rsidR="00BA3275" w14:paraId="0AAA826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8A08B5A" w14:textId="77777777" w:rsidR="00BA3275" w:rsidRDefault="00000000">
            <w:pPr>
              <w:rPr>
                <w:rFonts w:eastAsia="Times New Roman"/>
              </w:rPr>
            </w:pPr>
            <w:r>
              <w:rPr>
                <w:rFonts w:ascii="Arial" w:eastAsia="Times New Roman" w:hAnsi="Arial" w:cs="Arial"/>
                <w:sz w:val="16"/>
                <w:szCs w:val="16"/>
              </w:rPr>
              <w:t>Contribuição Confederativa</w:t>
            </w:r>
          </w:p>
        </w:tc>
        <w:tc>
          <w:tcPr>
            <w:tcW w:w="0" w:type="auto"/>
            <w:tcBorders>
              <w:top w:val="outset" w:sz="6" w:space="0" w:color="auto"/>
              <w:left w:val="outset" w:sz="6" w:space="0" w:color="auto"/>
              <w:bottom w:val="outset" w:sz="6" w:space="0" w:color="auto"/>
              <w:right w:val="outset" w:sz="6" w:space="0" w:color="auto"/>
            </w:tcBorders>
            <w:vAlign w:val="center"/>
            <w:hideMark/>
          </w:tcPr>
          <w:p w14:paraId="020EBE63" w14:textId="77777777" w:rsidR="00BA3275" w:rsidRDefault="00000000">
            <w:pPr>
              <w:jc w:val="right"/>
              <w:rPr>
                <w:rFonts w:eastAsia="Times New Roman"/>
              </w:rPr>
            </w:pPr>
            <w:r>
              <w:rPr>
                <w:rFonts w:ascii="Arial" w:eastAsia="Times New Roman" w:hAnsi="Arial" w:cs="Arial"/>
                <w:sz w:val="16"/>
                <w:szCs w:val="16"/>
              </w:rPr>
              <w:t>(5.732,83)</w:t>
            </w:r>
          </w:p>
        </w:tc>
      </w:tr>
      <w:tr w:rsidR="00BA3275" w14:paraId="1748E9D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A598A3A" w14:textId="77777777" w:rsidR="00BA3275" w:rsidRDefault="00000000">
            <w:pPr>
              <w:rPr>
                <w:rFonts w:eastAsia="Times New Roman"/>
              </w:rPr>
            </w:pPr>
            <w:r>
              <w:rPr>
                <w:rFonts w:ascii="Arial" w:eastAsia="Times New Roman" w:hAnsi="Arial" w:cs="Arial"/>
                <w:sz w:val="16"/>
                <w:szCs w:val="16"/>
              </w:rPr>
              <w:t>Desp. Centro de Serv. Compart. - CCS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18B79D" w14:textId="77777777" w:rsidR="00BA3275" w:rsidRDefault="00000000">
            <w:pPr>
              <w:jc w:val="right"/>
              <w:rPr>
                <w:rFonts w:eastAsia="Times New Roman"/>
              </w:rPr>
            </w:pPr>
            <w:r>
              <w:rPr>
                <w:rFonts w:ascii="Arial" w:eastAsia="Times New Roman" w:hAnsi="Arial" w:cs="Arial"/>
                <w:sz w:val="16"/>
                <w:szCs w:val="16"/>
              </w:rPr>
              <w:t>(96.257,73)</w:t>
            </w:r>
          </w:p>
        </w:tc>
      </w:tr>
      <w:tr w:rsidR="00BA3275" w14:paraId="5572CCB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33E99FE" w14:textId="77777777" w:rsidR="00BA3275" w:rsidRDefault="00000000">
            <w:pPr>
              <w:rPr>
                <w:rFonts w:eastAsia="Times New Roman"/>
              </w:rPr>
            </w:pPr>
            <w:r>
              <w:rPr>
                <w:rFonts w:ascii="Arial" w:eastAsia="Times New Roman" w:hAnsi="Arial" w:cs="Arial"/>
                <w:sz w:val="16"/>
                <w:szCs w:val="16"/>
              </w:rPr>
              <w:t>Outras Despesas Indedutíveis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3A67F69" w14:textId="77777777" w:rsidR="00BA3275" w:rsidRDefault="00000000">
            <w:pPr>
              <w:jc w:val="right"/>
              <w:rPr>
                <w:rFonts w:eastAsia="Times New Roman"/>
              </w:rPr>
            </w:pPr>
            <w:r>
              <w:rPr>
                <w:rFonts w:ascii="Arial" w:eastAsia="Times New Roman" w:hAnsi="Arial" w:cs="Arial"/>
                <w:sz w:val="16"/>
                <w:szCs w:val="16"/>
              </w:rPr>
              <w:t>(40,00)</w:t>
            </w:r>
          </w:p>
        </w:tc>
      </w:tr>
      <w:tr w:rsidR="00BA3275" w14:paraId="2996F1A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0236B5B" w14:textId="77777777" w:rsidR="00BA3275" w:rsidRDefault="00000000">
            <w:pPr>
              <w:rPr>
                <w:rFonts w:eastAsia="Times New Roman"/>
              </w:rPr>
            </w:pPr>
            <w:r>
              <w:rPr>
                <w:rFonts w:ascii="Arial" w:eastAsia="Times New Roman" w:hAnsi="Arial" w:cs="Arial"/>
                <w:sz w:val="16"/>
                <w:szCs w:val="16"/>
              </w:rPr>
              <w:t>Outras Despesas Administrativas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9DA5FB8" w14:textId="77777777" w:rsidR="00BA3275" w:rsidRDefault="00000000">
            <w:pPr>
              <w:jc w:val="right"/>
              <w:rPr>
                <w:rFonts w:eastAsia="Times New Roman"/>
              </w:rPr>
            </w:pPr>
            <w:r>
              <w:rPr>
                <w:rFonts w:ascii="Arial" w:eastAsia="Times New Roman" w:hAnsi="Arial" w:cs="Arial"/>
                <w:sz w:val="16"/>
                <w:szCs w:val="16"/>
              </w:rPr>
              <w:t>(10.048,33)</w:t>
            </w:r>
          </w:p>
        </w:tc>
      </w:tr>
      <w:tr w:rsidR="00BA3275" w14:paraId="285DC74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EC09AE3" w14:textId="77777777" w:rsidR="00BA3275"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E02B16F" w14:textId="77777777" w:rsidR="00BA3275" w:rsidRDefault="00000000">
            <w:pPr>
              <w:jc w:val="right"/>
              <w:rPr>
                <w:rFonts w:eastAsia="Times New Roman"/>
              </w:rPr>
            </w:pPr>
            <w:r>
              <w:rPr>
                <w:rFonts w:ascii="Arial" w:eastAsia="Times New Roman" w:hAnsi="Arial" w:cs="Arial"/>
                <w:b/>
                <w:bCs/>
                <w:sz w:val="16"/>
                <w:szCs w:val="16"/>
              </w:rPr>
              <w:t>(969.099,52)</w:t>
            </w:r>
          </w:p>
        </w:tc>
      </w:tr>
    </w:tbl>
    <w:p w14:paraId="68712995" w14:textId="77777777" w:rsidR="00BA3275" w:rsidRDefault="00000000">
      <w:pPr>
        <w:pStyle w:val="NormalWeb"/>
      </w:pPr>
      <w:r>
        <w:rPr>
          <w:rFonts w:ascii="Arial" w:hAnsi="Arial" w:cs="Arial"/>
          <w:b/>
          <w:bCs/>
          <w:sz w:val="20"/>
          <w:szCs w:val="20"/>
        </w:rPr>
        <w:t xml:space="preserve">25. Despesas Tributárias </w:t>
      </w:r>
    </w:p>
    <w:tbl>
      <w:tblPr>
        <w:tblW w:w="5000" w:type="pct"/>
        <w:tblCellMar>
          <w:left w:w="0" w:type="dxa"/>
          <w:right w:w="0" w:type="dxa"/>
        </w:tblCellMar>
        <w:tblLook w:val="04A0" w:firstRow="1" w:lastRow="0" w:firstColumn="1" w:lastColumn="0" w:noHBand="0" w:noVBand="1"/>
      </w:tblPr>
      <w:tblGrid>
        <w:gridCol w:w="7348"/>
        <w:gridCol w:w="2274"/>
      </w:tblGrid>
      <w:tr w:rsidR="00BA3275" w14:paraId="6E79803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855245A" w14:textId="77777777" w:rsidR="00BA3275"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56067C3"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174946E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639097C" w14:textId="77777777" w:rsidR="00BA3275" w:rsidRDefault="00000000">
            <w:pPr>
              <w:rPr>
                <w:rFonts w:eastAsia="Times New Roman"/>
              </w:rPr>
            </w:pPr>
            <w:r>
              <w:rPr>
                <w:rFonts w:ascii="Arial" w:eastAsia="Times New Roman" w:hAnsi="Arial" w:cs="Arial"/>
                <w:sz w:val="16"/>
                <w:szCs w:val="16"/>
              </w:rPr>
              <w:t>Despesas Tributárias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52DC0C7" w14:textId="77777777" w:rsidR="00BA3275" w:rsidRDefault="00000000">
            <w:pPr>
              <w:jc w:val="right"/>
              <w:rPr>
                <w:rFonts w:eastAsia="Times New Roman"/>
              </w:rPr>
            </w:pPr>
            <w:r>
              <w:rPr>
                <w:rFonts w:ascii="Arial" w:eastAsia="Times New Roman" w:hAnsi="Arial" w:cs="Arial"/>
                <w:sz w:val="16"/>
                <w:szCs w:val="16"/>
              </w:rPr>
              <w:t>(8.099,49)</w:t>
            </w:r>
          </w:p>
        </w:tc>
      </w:tr>
      <w:tr w:rsidR="00BA3275" w14:paraId="77F5337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131864C" w14:textId="77777777" w:rsidR="00BA3275" w:rsidRDefault="00000000">
            <w:pPr>
              <w:rPr>
                <w:rFonts w:eastAsia="Times New Roman"/>
              </w:rPr>
            </w:pPr>
            <w:r>
              <w:rPr>
                <w:rFonts w:ascii="Arial" w:eastAsia="Times New Roman" w:hAnsi="Arial" w:cs="Arial"/>
                <w:sz w:val="16"/>
                <w:szCs w:val="16"/>
              </w:rPr>
              <w:t>Desp. Impostos s/ Serviços - ISS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F9F9EA" w14:textId="77777777" w:rsidR="00BA3275" w:rsidRDefault="00000000">
            <w:pPr>
              <w:jc w:val="right"/>
              <w:rPr>
                <w:rFonts w:eastAsia="Times New Roman"/>
              </w:rPr>
            </w:pPr>
            <w:r>
              <w:rPr>
                <w:rFonts w:ascii="Arial" w:eastAsia="Times New Roman" w:hAnsi="Arial" w:cs="Arial"/>
                <w:sz w:val="16"/>
                <w:szCs w:val="16"/>
              </w:rPr>
              <w:t>(34.774,36)</w:t>
            </w:r>
          </w:p>
        </w:tc>
      </w:tr>
      <w:tr w:rsidR="00BA3275" w14:paraId="6C40EA8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4C52611" w14:textId="77777777" w:rsidR="00BA3275" w:rsidRDefault="00000000">
            <w:pPr>
              <w:rPr>
                <w:rFonts w:eastAsia="Times New Roman"/>
              </w:rPr>
            </w:pPr>
            <w:r>
              <w:rPr>
                <w:rFonts w:ascii="Arial" w:eastAsia="Times New Roman" w:hAnsi="Arial" w:cs="Arial"/>
                <w:sz w:val="16"/>
                <w:szCs w:val="16"/>
              </w:rPr>
              <w:t>Despesas de Contribuição ao COFINS</w:t>
            </w:r>
          </w:p>
        </w:tc>
        <w:tc>
          <w:tcPr>
            <w:tcW w:w="0" w:type="auto"/>
            <w:tcBorders>
              <w:top w:val="outset" w:sz="6" w:space="0" w:color="auto"/>
              <w:left w:val="outset" w:sz="6" w:space="0" w:color="auto"/>
              <w:bottom w:val="outset" w:sz="6" w:space="0" w:color="auto"/>
              <w:right w:val="outset" w:sz="6" w:space="0" w:color="auto"/>
            </w:tcBorders>
            <w:vAlign w:val="center"/>
            <w:hideMark/>
          </w:tcPr>
          <w:p w14:paraId="6A522421" w14:textId="77777777" w:rsidR="00BA3275" w:rsidRDefault="00000000">
            <w:pPr>
              <w:jc w:val="right"/>
              <w:rPr>
                <w:rFonts w:eastAsia="Times New Roman"/>
              </w:rPr>
            </w:pPr>
            <w:r>
              <w:rPr>
                <w:rFonts w:ascii="Arial" w:eastAsia="Times New Roman" w:hAnsi="Arial" w:cs="Arial"/>
                <w:sz w:val="16"/>
                <w:szCs w:val="16"/>
              </w:rPr>
              <w:t>(69.552,72)</w:t>
            </w:r>
          </w:p>
        </w:tc>
      </w:tr>
      <w:tr w:rsidR="00BA3275" w14:paraId="65AEE79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172A732" w14:textId="77777777" w:rsidR="00BA3275" w:rsidRDefault="00000000">
            <w:pPr>
              <w:rPr>
                <w:rFonts w:eastAsia="Times New Roman"/>
              </w:rPr>
            </w:pPr>
            <w:r>
              <w:rPr>
                <w:rFonts w:ascii="Arial" w:eastAsia="Times New Roman" w:hAnsi="Arial" w:cs="Arial"/>
                <w:sz w:val="16"/>
                <w:szCs w:val="16"/>
              </w:rPr>
              <w:t>Despesas de Contribuição ao PIS/PASEP</w:t>
            </w:r>
          </w:p>
        </w:tc>
        <w:tc>
          <w:tcPr>
            <w:tcW w:w="0" w:type="auto"/>
            <w:tcBorders>
              <w:top w:val="outset" w:sz="6" w:space="0" w:color="auto"/>
              <w:left w:val="outset" w:sz="6" w:space="0" w:color="auto"/>
              <w:bottom w:val="outset" w:sz="6" w:space="0" w:color="auto"/>
              <w:right w:val="outset" w:sz="6" w:space="0" w:color="auto"/>
            </w:tcBorders>
            <w:vAlign w:val="center"/>
            <w:hideMark/>
          </w:tcPr>
          <w:p w14:paraId="7684F4C4" w14:textId="77777777" w:rsidR="00BA3275" w:rsidRDefault="00000000">
            <w:pPr>
              <w:jc w:val="right"/>
              <w:rPr>
                <w:rFonts w:eastAsia="Times New Roman"/>
              </w:rPr>
            </w:pPr>
            <w:r>
              <w:rPr>
                <w:rFonts w:ascii="Arial" w:eastAsia="Times New Roman" w:hAnsi="Arial" w:cs="Arial"/>
                <w:sz w:val="16"/>
                <w:szCs w:val="16"/>
              </w:rPr>
              <w:t>(17.351,33)</w:t>
            </w:r>
          </w:p>
        </w:tc>
      </w:tr>
      <w:tr w:rsidR="00BA3275" w14:paraId="7461516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1F80E70" w14:textId="77777777" w:rsidR="00BA3275"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44E8C19" w14:textId="77777777" w:rsidR="00BA3275" w:rsidRDefault="00000000">
            <w:pPr>
              <w:jc w:val="right"/>
              <w:rPr>
                <w:rFonts w:eastAsia="Times New Roman"/>
              </w:rPr>
            </w:pPr>
            <w:r>
              <w:rPr>
                <w:rFonts w:ascii="Arial" w:eastAsia="Times New Roman" w:hAnsi="Arial" w:cs="Arial"/>
                <w:b/>
                <w:bCs/>
                <w:sz w:val="16"/>
                <w:szCs w:val="16"/>
              </w:rPr>
              <w:t>(129.777,90)</w:t>
            </w:r>
          </w:p>
        </w:tc>
      </w:tr>
    </w:tbl>
    <w:p w14:paraId="56D1FE5E" w14:textId="77777777" w:rsidR="00BA3275" w:rsidRDefault="00000000">
      <w:pPr>
        <w:pStyle w:val="NormalWeb"/>
      </w:pPr>
      <w:r>
        <w:rPr>
          <w:rFonts w:ascii="Arial" w:hAnsi="Arial" w:cs="Arial"/>
          <w:b/>
          <w:bCs/>
          <w:sz w:val="20"/>
          <w:szCs w:val="20"/>
        </w:rPr>
        <w:t xml:space="preserve">26. Outras Despesas Operacionais </w:t>
      </w:r>
    </w:p>
    <w:tbl>
      <w:tblPr>
        <w:tblW w:w="5000" w:type="pct"/>
        <w:tblCellMar>
          <w:left w:w="0" w:type="dxa"/>
          <w:right w:w="0" w:type="dxa"/>
        </w:tblCellMar>
        <w:tblLook w:val="04A0" w:firstRow="1" w:lastRow="0" w:firstColumn="1" w:lastColumn="0" w:noHBand="0" w:noVBand="1"/>
      </w:tblPr>
      <w:tblGrid>
        <w:gridCol w:w="7849"/>
        <w:gridCol w:w="1773"/>
      </w:tblGrid>
      <w:tr w:rsidR="00BA3275" w14:paraId="7AB1385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1184067" w14:textId="77777777" w:rsidR="00BA3275"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A6B8A9B"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76EAF02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BCA7DB9" w14:textId="77777777" w:rsidR="00BA3275" w:rsidRDefault="00000000">
            <w:pPr>
              <w:rPr>
                <w:rFonts w:eastAsia="Times New Roman"/>
              </w:rPr>
            </w:pPr>
            <w:r>
              <w:rPr>
                <w:rFonts w:ascii="Arial" w:eastAsia="Times New Roman" w:hAnsi="Arial" w:cs="Arial"/>
                <w:sz w:val="16"/>
                <w:szCs w:val="16"/>
              </w:rPr>
              <w:t>Despesas com Serviços Associados a Transações de Pagamento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61D9E" w14:textId="77777777" w:rsidR="00BA3275" w:rsidRDefault="00000000">
            <w:pPr>
              <w:jc w:val="right"/>
              <w:rPr>
                <w:rFonts w:eastAsia="Times New Roman"/>
              </w:rPr>
            </w:pPr>
            <w:r>
              <w:rPr>
                <w:rFonts w:ascii="Arial" w:eastAsia="Times New Roman" w:hAnsi="Arial" w:cs="Arial"/>
                <w:sz w:val="16"/>
                <w:szCs w:val="16"/>
              </w:rPr>
              <w:t>(1.063.234,14)</w:t>
            </w:r>
          </w:p>
        </w:tc>
      </w:tr>
      <w:tr w:rsidR="00BA3275" w14:paraId="082ADDC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E0C7D2F" w14:textId="77777777" w:rsidR="00BA3275" w:rsidRDefault="00000000">
            <w:pPr>
              <w:rPr>
                <w:rFonts w:eastAsia="Times New Roman"/>
              </w:rPr>
            </w:pPr>
            <w:r>
              <w:rPr>
                <w:rFonts w:ascii="Arial" w:eastAsia="Times New Roman" w:hAnsi="Arial" w:cs="Arial"/>
                <w:sz w:val="16"/>
                <w:szCs w:val="16"/>
              </w:rPr>
              <w:t>Outras Contribuições Diversas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2B4CB7" w14:textId="77777777" w:rsidR="00BA3275" w:rsidRDefault="00000000">
            <w:pPr>
              <w:jc w:val="right"/>
              <w:rPr>
                <w:rFonts w:eastAsia="Times New Roman"/>
              </w:rPr>
            </w:pPr>
            <w:r>
              <w:rPr>
                <w:rFonts w:ascii="Arial" w:eastAsia="Times New Roman" w:hAnsi="Arial" w:cs="Arial"/>
                <w:sz w:val="16"/>
                <w:szCs w:val="16"/>
              </w:rPr>
              <w:t>(51.917,82)</w:t>
            </w:r>
          </w:p>
        </w:tc>
      </w:tr>
      <w:tr w:rsidR="00BA3275" w14:paraId="183A9AD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F89DD59" w14:textId="77777777" w:rsidR="00BA3275" w:rsidRDefault="00000000">
            <w:pPr>
              <w:rPr>
                <w:rFonts w:eastAsia="Times New Roman"/>
              </w:rPr>
            </w:pPr>
            <w:r>
              <w:rPr>
                <w:rFonts w:ascii="Arial" w:eastAsia="Times New Roman" w:hAnsi="Arial" w:cs="Arial"/>
                <w:sz w:val="16"/>
                <w:szCs w:val="16"/>
              </w:rPr>
              <w:t>Dispêndios de Assistência Técnica, Educacional e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D8DEE" w14:textId="77777777" w:rsidR="00BA3275" w:rsidRDefault="00000000">
            <w:pPr>
              <w:jc w:val="right"/>
              <w:rPr>
                <w:rFonts w:eastAsia="Times New Roman"/>
              </w:rPr>
            </w:pPr>
            <w:r>
              <w:rPr>
                <w:rFonts w:ascii="Arial" w:eastAsia="Times New Roman" w:hAnsi="Arial" w:cs="Arial"/>
                <w:sz w:val="16"/>
                <w:szCs w:val="16"/>
              </w:rPr>
              <w:t>(1.467.220,95)</w:t>
            </w:r>
          </w:p>
        </w:tc>
      </w:tr>
      <w:tr w:rsidR="00BA3275" w14:paraId="688DF8D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B52C023" w14:textId="77777777" w:rsidR="00BA3275" w:rsidRDefault="00000000">
            <w:pPr>
              <w:rPr>
                <w:rFonts w:eastAsia="Times New Roman"/>
              </w:rPr>
            </w:pPr>
            <w:r>
              <w:rPr>
                <w:rFonts w:ascii="Arial" w:eastAsia="Times New Roman" w:hAnsi="Arial" w:cs="Arial"/>
                <w:sz w:val="16"/>
                <w:szCs w:val="16"/>
              </w:rPr>
              <w:t>Outras Despesas e Dispêndios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0A1C1A0" w14:textId="77777777" w:rsidR="00BA3275" w:rsidRDefault="00000000">
            <w:pPr>
              <w:jc w:val="right"/>
              <w:rPr>
                <w:rFonts w:eastAsia="Times New Roman"/>
              </w:rPr>
            </w:pPr>
            <w:r>
              <w:rPr>
                <w:rFonts w:ascii="Arial" w:eastAsia="Times New Roman" w:hAnsi="Arial" w:cs="Arial"/>
                <w:sz w:val="16"/>
                <w:szCs w:val="16"/>
              </w:rPr>
              <w:t>(494.857,75)</w:t>
            </w:r>
          </w:p>
        </w:tc>
      </w:tr>
      <w:tr w:rsidR="00BA3275" w14:paraId="4F15CDB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98FD7D3" w14:textId="77777777" w:rsidR="00BA3275"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E578855" w14:textId="77777777" w:rsidR="00BA3275" w:rsidRDefault="00000000">
            <w:pPr>
              <w:jc w:val="right"/>
              <w:rPr>
                <w:rFonts w:eastAsia="Times New Roman"/>
              </w:rPr>
            </w:pPr>
            <w:r>
              <w:rPr>
                <w:rFonts w:ascii="Arial" w:eastAsia="Times New Roman" w:hAnsi="Arial" w:cs="Arial"/>
                <w:b/>
                <w:bCs/>
                <w:sz w:val="16"/>
                <w:szCs w:val="16"/>
              </w:rPr>
              <w:t>(3.077.230,66)</w:t>
            </w:r>
          </w:p>
        </w:tc>
      </w:tr>
    </w:tbl>
    <w:p w14:paraId="5206299F" w14:textId="4B5073D2" w:rsidR="00557E7F" w:rsidRDefault="00000000">
      <w:pPr>
        <w:pStyle w:val="NormalWeb"/>
      </w:pPr>
      <w:r>
        <w:rPr>
          <w:rFonts w:ascii="Arial" w:hAnsi="Arial" w:cs="Arial"/>
          <w:b/>
          <w:bCs/>
          <w:sz w:val="20"/>
          <w:szCs w:val="20"/>
        </w:rPr>
        <w:t>27. Outr</w:t>
      </w:r>
      <w:r w:rsidR="00557E7F">
        <w:rPr>
          <w:rFonts w:ascii="Arial" w:hAnsi="Arial" w:cs="Arial"/>
          <w:b/>
          <w:bCs/>
          <w:sz w:val="20"/>
          <w:szCs w:val="20"/>
        </w:rPr>
        <w:t>a</w:t>
      </w:r>
      <w:r>
        <w:rPr>
          <w:rFonts w:ascii="Arial" w:hAnsi="Arial" w:cs="Arial"/>
          <w:b/>
          <w:bCs/>
          <w:sz w:val="20"/>
          <w:szCs w:val="20"/>
        </w:rPr>
        <w:t xml:space="preserve">s Receitas Operacionais </w:t>
      </w:r>
    </w:p>
    <w:tbl>
      <w:tblPr>
        <w:tblW w:w="5000" w:type="pct"/>
        <w:tblCellMar>
          <w:left w:w="0" w:type="dxa"/>
          <w:right w:w="0" w:type="dxa"/>
        </w:tblCellMar>
        <w:tblLook w:val="04A0" w:firstRow="1" w:lastRow="0" w:firstColumn="1" w:lastColumn="0" w:noHBand="0" w:noVBand="1"/>
      </w:tblPr>
      <w:tblGrid>
        <w:gridCol w:w="7951"/>
        <w:gridCol w:w="1671"/>
      </w:tblGrid>
      <w:tr w:rsidR="00BA3275" w14:paraId="1F98F88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54E1096" w14:textId="77777777" w:rsidR="00BA3275"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EDF1799"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5270265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A838333" w14:textId="77777777" w:rsidR="00BA3275" w:rsidRDefault="00000000">
            <w:pPr>
              <w:rPr>
                <w:rFonts w:eastAsia="Times New Roman"/>
              </w:rPr>
            </w:pPr>
            <w:r>
              <w:rPr>
                <w:rFonts w:ascii="Arial" w:eastAsia="Times New Roman" w:hAnsi="Arial" w:cs="Arial"/>
                <w:sz w:val="16"/>
                <w:szCs w:val="16"/>
              </w:rPr>
              <w:t>Recuperação de Encargos e Despesas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24D16CB" w14:textId="77777777" w:rsidR="00BA3275" w:rsidRDefault="00000000">
            <w:pPr>
              <w:jc w:val="right"/>
              <w:rPr>
                <w:rFonts w:eastAsia="Times New Roman"/>
              </w:rPr>
            </w:pPr>
            <w:r>
              <w:rPr>
                <w:rFonts w:ascii="Arial" w:eastAsia="Times New Roman" w:hAnsi="Arial" w:cs="Arial"/>
                <w:sz w:val="16"/>
                <w:szCs w:val="16"/>
              </w:rPr>
              <w:t>136.593,91</w:t>
            </w:r>
          </w:p>
        </w:tc>
      </w:tr>
      <w:tr w:rsidR="00BA3275" w14:paraId="5D8B8E7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37C959A" w14:textId="77777777" w:rsidR="00BA3275" w:rsidRDefault="00000000">
            <w:pPr>
              <w:rPr>
                <w:rFonts w:eastAsia="Times New Roman"/>
              </w:rPr>
            </w:pPr>
            <w:r>
              <w:rPr>
                <w:rFonts w:ascii="Arial" w:eastAsia="Times New Roman" w:hAnsi="Arial" w:cs="Arial"/>
                <w:sz w:val="16"/>
                <w:szCs w:val="16"/>
              </w:rPr>
              <w:t>Dividendos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D840A4A" w14:textId="77777777" w:rsidR="00BA3275" w:rsidRDefault="00000000">
            <w:pPr>
              <w:jc w:val="right"/>
              <w:rPr>
                <w:rFonts w:eastAsia="Times New Roman"/>
              </w:rPr>
            </w:pPr>
            <w:r>
              <w:rPr>
                <w:rFonts w:ascii="Arial" w:eastAsia="Times New Roman" w:hAnsi="Arial" w:cs="Arial"/>
                <w:sz w:val="16"/>
                <w:szCs w:val="16"/>
              </w:rPr>
              <w:t>2.825,09</w:t>
            </w:r>
          </w:p>
        </w:tc>
      </w:tr>
      <w:tr w:rsidR="00BA3275" w14:paraId="1304C5A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DE4BC40" w14:textId="77777777" w:rsidR="00BA3275" w:rsidRDefault="00000000">
            <w:pPr>
              <w:rPr>
                <w:rFonts w:eastAsia="Times New Roman"/>
              </w:rPr>
            </w:pPr>
            <w:r>
              <w:rPr>
                <w:rFonts w:ascii="Arial" w:eastAsia="Times New Roman" w:hAnsi="Arial" w:cs="Arial"/>
                <w:sz w:val="16"/>
                <w:szCs w:val="16"/>
              </w:rPr>
              <w:t>Distribuição de Sobras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B16C15C" w14:textId="77777777" w:rsidR="00BA3275" w:rsidRDefault="00000000">
            <w:pPr>
              <w:jc w:val="right"/>
              <w:rPr>
                <w:rFonts w:eastAsia="Times New Roman"/>
              </w:rPr>
            </w:pPr>
            <w:r>
              <w:rPr>
                <w:rFonts w:ascii="Arial" w:eastAsia="Times New Roman" w:hAnsi="Arial" w:cs="Arial"/>
                <w:sz w:val="16"/>
                <w:szCs w:val="16"/>
              </w:rPr>
              <w:t>140.665,20</w:t>
            </w:r>
          </w:p>
        </w:tc>
      </w:tr>
      <w:tr w:rsidR="00BA3275" w14:paraId="7428E38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91F92B3" w14:textId="77777777" w:rsidR="00BA3275" w:rsidRDefault="00000000">
            <w:pPr>
              <w:rPr>
                <w:rFonts w:eastAsia="Times New Roman"/>
              </w:rPr>
            </w:pPr>
            <w:r>
              <w:rPr>
                <w:rFonts w:ascii="Arial" w:eastAsia="Times New Roman" w:hAnsi="Arial" w:cs="Arial"/>
                <w:sz w:val="16"/>
                <w:szCs w:val="16"/>
              </w:rPr>
              <w:t>Atualização Depósitos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4BC09C" w14:textId="77777777" w:rsidR="00BA3275" w:rsidRDefault="00000000">
            <w:pPr>
              <w:jc w:val="right"/>
              <w:rPr>
                <w:rFonts w:eastAsia="Times New Roman"/>
              </w:rPr>
            </w:pPr>
            <w:r>
              <w:rPr>
                <w:rFonts w:ascii="Arial" w:eastAsia="Times New Roman" w:hAnsi="Arial" w:cs="Arial"/>
                <w:sz w:val="16"/>
                <w:szCs w:val="16"/>
              </w:rPr>
              <w:t>6.663,16</w:t>
            </w:r>
          </w:p>
        </w:tc>
      </w:tr>
      <w:tr w:rsidR="00BA3275" w14:paraId="482829C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FACCCF7" w14:textId="77777777" w:rsidR="00BA3275" w:rsidRDefault="00000000">
            <w:pPr>
              <w:rPr>
                <w:rFonts w:eastAsia="Times New Roman"/>
              </w:rPr>
            </w:pPr>
            <w:r>
              <w:rPr>
                <w:rFonts w:ascii="Arial" w:eastAsia="Times New Roman" w:hAnsi="Arial" w:cs="Arial"/>
                <w:sz w:val="16"/>
                <w:szCs w:val="16"/>
              </w:rPr>
              <w:t>Rendas de Repasses Interfinanceiros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33FF860" w14:textId="77777777" w:rsidR="00BA3275" w:rsidRDefault="00000000">
            <w:pPr>
              <w:jc w:val="right"/>
              <w:rPr>
                <w:rFonts w:eastAsia="Times New Roman"/>
              </w:rPr>
            </w:pPr>
            <w:r>
              <w:rPr>
                <w:rFonts w:ascii="Arial" w:eastAsia="Times New Roman" w:hAnsi="Arial" w:cs="Arial"/>
                <w:sz w:val="16"/>
                <w:szCs w:val="16"/>
              </w:rPr>
              <w:t>68.780,77</w:t>
            </w:r>
          </w:p>
        </w:tc>
      </w:tr>
      <w:tr w:rsidR="00BA3275" w14:paraId="499DCF4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7D7AC42" w14:textId="77777777" w:rsidR="00BA3275" w:rsidRDefault="00000000">
            <w:pPr>
              <w:rPr>
                <w:rFonts w:eastAsia="Times New Roman"/>
              </w:rPr>
            </w:pPr>
            <w:r>
              <w:rPr>
                <w:rFonts w:ascii="Arial" w:eastAsia="Times New Roman" w:hAnsi="Arial" w:cs="Arial"/>
                <w:sz w:val="16"/>
                <w:szCs w:val="16"/>
              </w:rPr>
              <w:t>Rendas Oriundas de Cartões de Crédito e Adquirência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37F83F36" w14:textId="77777777" w:rsidR="00BA3275" w:rsidRDefault="00000000">
            <w:pPr>
              <w:jc w:val="right"/>
              <w:rPr>
                <w:rFonts w:eastAsia="Times New Roman"/>
              </w:rPr>
            </w:pPr>
            <w:r>
              <w:rPr>
                <w:rFonts w:ascii="Arial" w:eastAsia="Times New Roman" w:hAnsi="Arial" w:cs="Arial"/>
                <w:sz w:val="16"/>
                <w:szCs w:val="16"/>
              </w:rPr>
              <w:t>387.506,52</w:t>
            </w:r>
          </w:p>
        </w:tc>
      </w:tr>
      <w:tr w:rsidR="00BA3275" w14:paraId="491B2BE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6260719" w14:textId="77777777" w:rsidR="00BA3275" w:rsidRDefault="00000000">
            <w:pPr>
              <w:rPr>
                <w:rFonts w:eastAsia="Times New Roman"/>
              </w:rPr>
            </w:pPr>
            <w:r>
              <w:rPr>
                <w:rFonts w:ascii="Arial" w:eastAsia="Times New Roman" w:hAnsi="Arial" w:cs="Arial"/>
                <w:sz w:val="16"/>
                <w:szCs w:val="16"/>
              </w:rPr>
              <w:t>Outras Rendas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EB3348" w14:textId="77777777" w:rsidR="00BA3275" w:rsidRDefault="00000000">
            <w:pPr>
              <w:jc w:val="right"/>
              <w:rPr>
                <w:rFonts w:eastAsia="Times New Roman"/>
              </w:rPr>
            </w:pPr>
            <w:r>
              <w:rPr>
                <w:rFonts w:ascii="Arial" w:eastAsia="Times New Roman" w:hAnsi="Arial" w:cs="Arial"/>
                <w:sz w:val="16"/>
                <w:szCs w:val="16"/>
              </w:rPr>
              <w:t>769,49</w:t>
            </w:r>
          </w:p>
        </w:tc>
      </w:tr>
      <w:tr w:rsidR="00BA3275" w14:paraId="090D0D0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26FC8C2" w14:textId="77777777" w:rsidR="00BA3275"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57588C8" w14:textId="77777777" w:rsidR="00BA3275" w:rsidRDefault="00000000">
            <w:pPr>
              <w:jc w:val="right"/>
              <w:rPr>
                <w:rFonts w:eastAsia="Times New Roman"/>
              </w:rPr>
            </w:pPr>
            <w:r>
              <w:rPr>
                <w:rFonts w:ascii="Arial" w:eastAsia="Times New Roman" w:hAnsi="Arial" w:cs="Arial"/>
                <w:b/>
                <w:bCs/>
                <w:sz w:val="16"/>
                <w:szCs w:val="16"/>
              </w:rPr>
              <w:t>743.804,14</w:t>
            </w:r>
          </w:p>
        </w:tc>
      </w:tr>
    </w:tbl>
    <w:p w14:paraId="5C3329F4" w14:textId="77777777" w:rsidR="00BA3275" w:rsidRDefault="00000000">
      <w:pPr>
        <w:pStyle w:val="NormalWeb"/>
      </w:pPr>
      <w:r>
        <w:rPr>
          <w:rFonts w:ascii="Arial" w:hAnsi="Arial" w:cs="Arial"/>
          <w:b/>
          <w:bCs/>
          <w:sz w:val="20"/>
          <w:szCs w:val="20"/>
        </w:rPr>
        <w:t xml:space="preserve">28. Despesas com Provisões </w:t>
      </w:r>
    </w:p>
    <w:tbl>
      <w:tblPr>
        <w:tblW w:w="5000" w:type="pct"/>
        <w:tblCellMar>
          <w:left w:w="0" w:type="dxa"/>
          <w:right w:w="0" w:type="dxa"/>
        </w:tblCellMar>
        <w:tblLook w:val="04A0" w:firstRow="1" w:lastRow="0" w:firstColumn="1" w:lastColumn="0" w:noHBand="0" w:noVBand="1"/>
      </w:tblPr>
      <w:tblGrid>
        <w:gridCol w:w="7685"/>
        <w:gridCol w:w="1937"/>
      </w:tblGrid>
      <w:tr w:rsidR="00BA3275" w14:paraId="4C69BC5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1DD6D01" w14:textId="77777777" w:rsidR="00BA3275"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6AB8067"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3B99D70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F6C50E5" w14:textId="77777777" w:rsidR="00BA3275" w:rsidRDefault="00000000">
            <w:pPr>
              <w:rPr>
                <w:rFonts w:eastAsia="Times New Roman"/>
              </w:rPr>
            </w:pPr>
            <w:r>
              <w:rPr>
                <w:rFonts w:ascii="Arial" w:eastAsia="Times New Roman" w:hAnsi="Arial" w:cs="Arial"/>
                <w:sz w:val="16"/>
                <w:szCs w:val="16"/>
              </w:rPr>
              <w:t>Provisões para Contingências Cíveis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9682680" w14:textId="77777777" w:rsidR="00BA3275" w:rsidRDefault="00000000">
            <w:pPr>
              <w:jc w:val="right"/>
              <w:rPr>
                <w:rFonts w:eastAsia="Times New Roman"/>
              </w:rPr>
            </w:pPr>
            <w:r>
              <w:rPr>
                <w:rFonts w:ascii="Arial" w:eastAsia="Times New Roman" w:hAnsi="Arial" w:cs="Arial"/>
                <w:sz w:val="16"/>
                <w:szCs w:val="16"/>
              </w:rPr>
              <w:t>(84.154,38)</w:t>
            </w:r>
          </w:p>
        </w:tc>
      </w:tr>
      <w:tr w:rsidR="00BA3275" w14:paraId="0B06352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7DA781E" w14:textId="77777777" w:rsidR="00BA3275" w:rsidRDefault="00000000">
            <w:pPr>
              <w:rPr>
                <w:rFonts w:eastAsia="Times New Roman"/>
              </w:rPr>
            </w:pPr>
            <w:r>
              <w:rPr>
                <w:rFonts w:ascii="Arial" w:eastAsia="Times New Roman" w:hAnsi="Arial" w:cs="Arial"/>
                <w:sz w:val="16"/>
                <w:szCs w:val="16"/>
              </w:rPr>
              <w:t>Provisões para Outras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33ECB33" w14:textId="77777777" w:rsidR="00BA3275" w:rsidRDefault="00000000">
            <w:pPr>
              <w:jc w:val="right"/>
              <w:rPr>
                <w:rFonts w:eastAsia="Times New Roman"/>
              </w:rPr>
            </w:pPr>
            <w:r>
              <w:rPr>
                <w:rFonts w:ascii="Arial" w:eastAsia="Times New Roman" w:hAnsi="Arial" w:cs="Arial"/>
                <w:sz w:val="16"/>
                <w:szCs w:val="16"/>
              </w:rPr>
              <w:t>(29.399,03)</w:t>
            </w:r>
          </w:p>
        </w:tc>
      </w:tr>
      <w:tr w:rsidR="00BA3275" w14:paraId="7EED682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830DF0D" w14:textId="77777777" w:rsidR="00BA3275" w:rsidRDefault="00000000">
            <w:pPr>
              <w:rPr>
                <w:rFonts w:eastAsia="Times New Roman"/>
              </w:rPr>
            </w:pPr>
            <w:r>
              <w:rPr>
                <w:rFonts w:ascii="Arial" w:eastAsia="Times New Roman" w:hAnsi="Arial" w:cs="Arial"/>
                <w:sz w:val="16"/>
                <w:szCs w:val="16"/>
              </w:rPr>
              <w:t>Reversões de Provisões para Contingências Cíveis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5E9A1B4" w14:textId="77777777" w:rsidR="00BA3275" w:rsidRDefault="00000000">
            <w:pPr>
              <w:jc w:val="right"/>
              <w:rPr>
                <w:rFonts w:eastAsia="Times New Roman"/>
              </w:rPr>
            </w:pPr>
            <w:r>
              <w:rPr>
                <w:rFonts w:ascii="Arial" w:eastAsia="Times New Roman" w:hAnsi="Arial" w:cs="Arial"/>
                <w:sz w:val="16"/>
                <w:szCs w:val="16"/>
              </w:rPr>
              <w:t>56.562,90</w:t>
            </w:r>
          </w:p>
        </w:tc>
      </w:tr>
      <w:tr w:rsidR="00BA3275" w14:paraId="3839B56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4C0AFD9" w14:textId="77777777" w:rsidR="00BA3275" w:rsidRDefault="00000000">
            <w:pPr>
              <w:rPr>
                <w:rFonts w:eastAsia="Times New Roman"/>
              </w:rPr>
            </w:pPr>
            <w:r>
              <w:rPr>
                <w:rFonts w:ascii="Arial" w:eastAsia="Times New Roman" w:hAnsi="Arial" w:cs="Arial"/>
                <w:b/>
                <w:bCs/>
                <w:sz w:val="16"/>
                <w:szCs w:val="16"/>
              </w:rPr>
              <w:t>Provisões/Reversões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270D66" w14:textId="77777777" w:rsidR="00BA3275" w:rsidRDefault="00000000">
            <w:pPr>
              <w:jc w:val="right"/>
              <w:rPr>
                <w:rFonts w:eastAsia="Times New Roman"/>
              </w:rPr>
            </w:pPr>
            <w:r>
              <w:rPr>
                <w:rFonts w:ascii="Arial" w:eastAsia="Times New Roman" w:hAnsi="Arial" w:cs="Arial"/>
                <w:b/>
                <w:bCs/>
                <w:sz w:val="16"/>
                <w:szCs w:val="16"/>
              </w:rPr>
              <w:t>(56.990,51)</w:t>
            </w:r>
          </w:p>
        </w:tc>
      </w:tr>
      <w:tr w:rsidR="00BA3275" w14:paraId="7D9F66D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8F03457" w14:textId="77777777" w:rsidR="00BA3275" w:rsidRDefault="00000000">
            <w:pPr>
              <w:rPr>
                <w:rFonts w:eastAsia="Times New Roman"/>
              </w:rPr>
            </w:pPr>
            <w:r>
              <w:rPr>
                <w:rFonts w:ascii="Arial" w:eastAsia="Times New Roman" w:hAnsi="Arial" w:cs="Arial"/>
                <w:sz w:val="16"/>
                <w:szCs w:val="16"/>
              </w:rPr>
              <w:t>Provisões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14A8DF" w14:textId="77777777" w:rsidR="00BA3275" w:rsidRDefault="00000000">
            <w:pPr>
              <w:jc w:val="right"/>
              <w:rPr>
                <w:rFonts w:eastAsia="Times New Roman"/>
              </w:rPr>
            </w:pPr>
            <w:r>
              <w:rPr>
                <w:rFonts w:ascii="Arial" w:eastAsia="Times New Roman" w:hAnsi="Arial" w:cs="Arial"/>
                <w:sz w:val="16"/>
                <w:szCs w:val="16"/>
              </w:rPr>
              <w:t>(276.880,63)</w:t>
            </w:r>
          </w:p>
        </w:tc>
      </w:tr>
      <w:tr w:rsidR="00BA3275" w14:paraId="4675A21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7398BFD" w14:textId="77777777" w:rsidR="00BA3275" w:rsidRDefault="00000000">
            <w:pPr>
              <w:rPr>
                <w:rFonts w:eastAsia="Times New Roman"/>
              </w:rPr>
            </w:pPr>
            <w:r>
              <w:rPr>
                <w:rFonts w:ascii="Arial" w:eastAsia="Times New Roman" w:hAnsi="Arial" w:cs="Arial"/>
                <w:sz w:val="16"/>
                <w:szCs w:val="16"/>
              </w:rPr>
              <w:t>Reversões de Provisões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5BC5E2D" w14:textId="77777777" w:rsidR="00BA3275" w:rsidRDefault="00000000">
            <w:pPr>
              <w:jc w:val="right"/>
              <w:rPr>
                <w:rFonts w:eastAsia="Times New Roman"/>
              </w:rPr>
            </w:pPr>
            <w:r>
              <w:rPr>
                <w:rFonts w:ascii="Arial" w:eastAsia="Times New Roman" w:hAnsi="Arial" w:cs="Arial"/>
                <w:sz w:val="16"/>
                <w:szCs w:val="16"/>
              </w:rPr>
              <w:t>132.426,41</w:t>
            </w:r>
          </w:p>
        </w:tc>
      </w:tr>
      <w:tr w:rsidR="00BA3275" w14:paraId="5FD5F68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9D8199C" w14:textId="77777777" w:rsidR="00BA3275" w:rsidRDefault="00000000">
            <w:pPr>
              <w:rPr>
                <w:rFonts w:eastAsia="Times New Roman"/>
              </w:rPr>
            </w:pPr>
            <w:r>
              <w:rPr>
                <w:rFonts w:ascii="Arial" w:eastAsia="Times New Roman" w:hAnsi="Arial" w:cs="Arial"/>
                <w:b/>
                <w:bCs/>
                <w:sz w:val="16"/>
                <w:szCs w:val="16"/>
              </w:rPr>
              <w:t>Provisões/Reversões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5B3390" w14:textId="77777777" w:rsidR="00BA3275" w:rsidRDefault="00000000">
            <w:pPr>
              <w:jc w:val="right"/>
              <w:rPr>
                <w:rFonts w:eastAsia="Times New Roman"/>
              </w:rPr>
            </w:pPr>
            <w:r>
              <w:rPr>
                <w:rFonts w:ascii="Arial" w:eastAsia="Times New Roman" w:hAnsi="Arial" w:cs="Arial"/>
                <w:b/>
                <w:bCs/>
                <w:sz w:val="16"/>
                <w:szCs w:val="16"/>
              </w:rPr>
              <w:t>(144.454,22)</w:t>
            </w:r>
          </w:p>
        </w:tc>
      </w:tr>
      <w:tr w:rsidR="00BA3275" w14:paraId="7B64210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E5E6883" w14:textId="77777777" w:rsidR="00BA3275"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6DC4586" w14:textId="77777777" w:rsidR="00BA3275" w:rsidRDefault="00000000">
            <w:pPr>
              <w:jc w:val="right"/>
              <w:rPr>
                <w:rFonts w:eastAsia="Times New Roman"/>
              </w:rPr>
            </w:pPr>
            <w:r>
              <w:rPr>
                <w:rFonts w:ascii="Arial" w:eastAsia="Times New Roman" w:hAnsi="Arial" w:cs="Arial"/>
                <w:b/>
                <w:bCs/>
                <w:sz w:val="16"/>
                <w:szCs w:val="16"/>
              </w:rPr>
              <w:t>(201.444,73)</w:t>
            </w:r>
          </w:p>
        </w:tc>
      </w:tr>
    </w:tbl>
    <w:p w14:paraId="5531023E" w14:textId="77777777" w:rsidR="00BA3275" w:rsidRDefault="00000000">
      <w:pPr>
        <w:pStyle w:val="NormalWeb"/>
      </w:pPr>
      <w:r>
        <w:rPr>
          <w:rFonts w:ascii="Arial" w:hAnsi="Arial" w:cs="Arial"/>
          <w:b/>
          <w:bCs/>
          <w:sz w:val="20"/>
          <w:szCs w:val="20"/>
        </w:rPr>
        <w:t xml:space="preserve">29. Outras Receitas e Despesas </w:t>
      </w:r>
    </w:p>
    <w:tbl>
      <w:tblPr>
        <w:tblW w:w="5000" w:type="pct"/>
        <w:tblCellMar>
          <w:left w:w="0" w:type="dxa"/>
          <w:right w:w="0" w:type="dxa"/>
        </w:tblCellMar>
        <w:tblLook w:val="04A0" w:firstRow="1" w:lastRow="0" w:firstColumn="1" w:lastColumn="0" w:noHBand="0" w:noVBand="1"/>
      </w:tblPr>
      <w:tblGrid>
        <w:gridCol w:w="7691"/>
        <w:gridCol w:w="1931"/>
      </w:tblGrid>
      <w:tr w:rsidR="00BA3275" w14:paraId="7518014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42FDF7C" w14:textId="77777777" w:rsidR="00BA3275"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B9D8584"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732FE89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4F4EE76" w14:textId="77777777" w:rsidR="00BA3275" w:rsidRDefault="00000000">
            <w:pPr>
              <w:rPr>
                <w:rFonts w:eastAsia="Times New Roman"/>
              </w:rPr>
            </w:pPr>
            <w:r>
              <w:rPr>
                <w:rFonts w:ascii="Arial" w:eastAsia="Times New Roman" w:hAnsi="Arial" w:cs="Arial"/>
                <w:sz w:val="16"/>
                <w:szCs w:val="16"/>
              </w:rPr>
              <w:t>Lucros na Alienação de Outros Valores 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336CE23C" w14:textId="77777777" w:rsidR="00BA3275" w:rsidRDefault="00000000">
            <w:pPr>
              <w:jc w:val="right"/>
              <w:rPr>
                <w:rFonts w:eastAsia="Times New Roman"/>
              </w:rPr>
            </w:pPr>
            <w:r>
              <w:rPr>
                <w:rFonts w:ascii="Arial" w:eastAsia="Times New Roman" w:hAnsi="Arial" w:cs="Arial"/>
                <w:sz w:val="16"/>
                <w:szCs w:val="16"/>
              </w:rPr>
              <w:t>2.637,85</w:t>
            </w:r>
          </w:p>
        </w:tc>
      </w:tr>
      <w:tr w:rsidR="00BA3275" w14:paraId="492E431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FF9FB8A" w14:textId="77777777" w:rsidR="00BA3275" w:rsidRDefault="00000000">
            <w:pPr>
              <w:rPr>
                <w:rFonts w:eastAsia="Times New Roman"/>
              </w:rPr>
            </w:pPr>
            <w:r>
              <w:rPr>
                <w:rFonts w:ascii="Arial" w:eastAsia="Times New Roman" w:hAnsi="Arial" w:cs="Arial"/>
                <w:sz w:val="16"/>
                <w:szCs w:val="16"/>
              </w:rPr>
              <w:t>Ganho de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433902A" w14:textId="77777777" w:rsidR="00BA3275" w:rsidRDefault="00000000">
            <w:pPr>
              <w:jc w:val="right"/>
              <w:rPr>
                <w:rFonts w:eastAsia="Times New Roman"/>
              </w:rPr>
            </w:pPr>
            <w:r>
              <w:rPr>
                <w:rFonts w:ascii="Arial" w:eastAsia="Times New Roman" w:hAnsi="Arial" w:cs="Arial"/>
                <w:sz w:val="16"/>
                <w:szCs w:val="16"/>
              </w:rPr>
              <w:t>200,04</w:t>
            </w:r>
          </w:p>
        </w:tc>
      </w:tr>
      <w:tr w:rsidR="00BA3275" w14:paraId="275715D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ED1C804" w14:textId="77777777" w:rsidR="00BA3275" w:rsidRDefault="00000000">
            <w:pPr>
              <w:rPr>
                <w:rFonts w:eastAsia="Times New Roman"/>
              </w:rPr>
            </w:pPr>
            <w:r>
              <w:rPr>
                <w:rFonts w:ascii="Arial" w:eastAsia="Times New Roman" w:hAnsi="Arial" w:cs="Arial"/>
                <w:b/>
                <w:bCs/>
                <w:sz w:val="16"/>
                <w:szCs w:val="16"/>
              </w:rPr>
              <w:t>Receitas não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0F30D6F" w14:textId="77777777" w:rsidR="00BA3275" w:rsidRDefault="00000000">
            <w:pPr>
              <w:jc w:val="right"/>
              <w:rPr>
                <w:rFonts w:eastAsia="Times New Roman"/>
              </w:rPr>
            </w:pPr>
            <w:r>
              <w:rPr>
                <w:rFonts w:ascii="Arial" w:eastAsia="Times New Roman" w:hAnsi="Arial" w:cs="Arial"/>
                <w:b/>
                <w:bCs/>
                <w:sz w:val="16"/>
                <w:szCs w:val="16"/>
              </w:rPr>
              <w:t>2.837,89</w:t>
            </w:r>
          </w:p>
        </w:tc>
      </w:tr>
      <w:tr w:rsidR="00BA3275" w14:paraId="236D20A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2EDD3FD" w14:textId="77777777" w:rsidR="00BA3275" w:rsidRDefault="00000000">
            <w:pPr>
              <w:rPr>
                <w:rFonts w:eastAsia="Times New Roman"/>
              </w:rPr>
            </w:pPr>
            <w:r>
              <w:rPr>
                <w:rFonts w:ascii="Arial" w:eastAsia="Times New Roman" w:hAnsi="Arial" w:cs="Arial"/>
                <w:sz w:val="16"/>
                <w:szCs w:val="16"/>
              </w:rPr>
              <w:t>(-) Perda de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A668F" w14:textId="77777777" w:rsidR="00BA3275" w:rsidRDefault="00000000">
            <w:pPr>
              <w:jc w:val="right"/>
              <w:rPr>
                <w:rFonts w:eastAsia="Times New Roman"/>
              </w:rPr>
            </w:pPr>
            <w:r>
              <w:rPr>
                <w:rFonts w:ascii="Arial" w:eastAsia="Times New Roman" w:hAnsi="Arial" w:cs="Arial"/>
                <w:sz w:val="16"/>
                <w:szCs w:val="16"/>
              </w:rPr>
              <w:t>(13.849,78)</w:t>
            </w:r>
          </w:p>
        </w:tc>
      </w:tr>
      <w:tr w:rsidR="00BA3275" w14:paraId="7D7998C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C8AF3C0" w14:textId="77777777" w:rsidR="00BA3275" w:rsidRDefault="00000000">
            <w:pPr>
              <w:rPr>
                <w:rFonts w:eastAsia="Times New Roman"/>
              </w:rPr>
            </w:pPr>
            <w:r>
              <w:rPr>
                <w:rFonts w:ascii="Arial" w:eastAsia="Times New Roman" w:hAnsi="Arial" w:cs="Arial"/>
                <w:sz w:val="16"/>
                <w:szCs w:val="16"/>
              </w:rPr>
              <w:t>(-) Outras Despesas não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9B5C5FE" w14:textId="77777777" w:rsidR="00BA3275" w:rsidRDefault="00000000">
            <w:pPr>
              <w:jc w:val="right"/>
              <w:rPr>
                <w:rFonts w:eastAsia="Times New Roman"/>
              </w:rPr>
            </w:pPr>
            <w:r>
              <w:rPr>
                <w:rFonts w:ascii="Arial" w:eastAsia="Times New Roman" w:hAnsi="Arial" w:cs="Arial"/>
                <w:sz w:val="16"/>
                <w:szCs w:val="16"/>
              </w:rPr>
              <w:t>(1.664,70)</w:t>
            </w:r>
          </w:p>
        </w:tc>
      </w:tr>
      <w:tr w:rsidR="00BA3275" w14:paraId="20B41B3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CE725FF" w14:textId="77777777" w:rsidR="00BA3275" w:rsidRDefault="00000000">
            <w:pPr>
              <w:rPr>
                <w:rFonts w:eastAsia="Times New Roman"/>
              </w:rPr>
            </w:pPr>
            <w:r>
              <w:rPr>
                <w:rFonts w:ascii="Arial" w:eastAsia="Times New Roman" w:hAnsi="Arial" w:cs="Arial"/>
                <w:b/>
                <w:bCs/>
                <w:sz w:val="16"/>
                <w:szCs w:val="16"/>
              </w:rPr>
              <w:lastRenderedPageBreak/>
              <w:t>(-) Despesas não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96C80" w14:textId="77777777" w:rsidR="00BA3275" w:rsidRDefault="00000000">
            <w:pPr>
              <w:jc w:val="right"/>
              <w:rPr>
                <w:rFonts w:eastAsia="Times New Roman"/>
              </w:rPr>
            </w:pPr>
            <w:r>
              <w:rPr>
                <w:rFonts w:ascii="Arial" w:eastAsia="Times New Roman" w:hAnsi="Arial" w:cs="Arial"/>
                <w:b/>
                <w:bCs/>
                <w:sz w:val="16"/>
                <w:szCs w:val="16"/>
              </w:rPr>
              <w:t>(15.514,48)</w:t>
            </w:r>
          </w:p>
        </w:tc>
      </w:tr>
      <w:tr w:rsidR="00BA3275" w14:paraId="242389F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8847647" w14:textId="77777777" w:rsidR="00BA3275"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CBA5A35" w14:textId="77777777" w:rsidR="00BA3275" w:rsidRDefault="00000000">
            <w:pPr>
              <w:jc w:val="right"/>
              <w:rPr>
                <w:rFonts w:eastAsia="Times New Roman"/>
              </w:rPr>
            </w:pPr>
            <w:r>
              <w:rPr>
                <w:rFonts w:ascii="Arial" w:eastAsia="Times New Roman" w:hAnsi="Arial" w:cs="Arial"/>
                <w:b/>
                <w:bCs/>
                <w:sz w:val="16"/>
                <w:szCs w:val="16"/>
              </w:rPr>
              <w:t>(12.676,59)</w:t>
            </w:r>
          </w:p>
        </w:tc>
      </w:tr>
    </w:tbl>
    <w:p w14:paraId="4D43A1E9" w14:textId="77777777" w:rsidR="00BA3275" w:rsidRDefault="00000000">
      <w:pPr>
        <w:pStyle w:val="NormalWeb"/>
      </w:pPr>
      <w:r>
        <w:rPr>
          <w:rFonts w:ascii="Arial" w:hAnsi="Arial" w:cs="Arial"/>
          <w:b/>
          <w:bCs/>
          <w:sz w:val="20"/>
          <w:szCs w:val="20"/>
        </w:rPr>
        <w:t xml:space="preserve">30. Resultado Não Recorrente </w:t>
      </w:r>
    </w:p>
    <w:p w14:paraId="36A74FF3" w14:textId="77777777" w:rsidR="00BA3275" w:rsidRDefault="00000000">
      <w:pPr>
        <w:pStyle w:val="NormalWeb"/>
        <w:jc w:val="both"/>
      </w:pPr>
      <w:r>
        <w:rPr>
          <w:rFonts w:ascii="Arial" w:hAnsi="Arial" w:cs="Arial"/>
          <w:sz w:val="20"/>
          <w:szCs w:val="20"/>
        </w:rPr>
        <w:t>Com base na aplicação da premissa contábil adotada, conforme a definição da Resolução BCB nº 2/2020, alterada pela Resolução BCB nº 367/2024, e nos critérios internos complementares a este normativo, não houve registros referentes a resultados não recorrentes no período de 30/06/2025.</w:t>
      </w:r>
    </w:p>
    <w:p w14:paraId="16C7D698" w14:textId="77777777" w:rsidR="00BA3275" w:rsidRDefault="00000000">
      <w:pPr>
        <w:pStyle w:val="NormalWeb"/>
      </w:pPr>
      <w:r>
        <w:rPr>
          <w:rFonts w:ascii="Arial" w:hAnsi="Arial" w:cs="Arial"/>
          <w:b/>
          <w:bCs/>
          <w:sz w:val="20"/>
          <w:szCs w:val="20"/>
        </w:rPr>
        <w:t xml:space="preserve">31. Partes Relacionadas </w:t>
      </w:r>
    </w:p>
    <w:p w14:paraId="0B803567" w14:textId="77777777" w:rsidR="00BA3275" w:rsidRDefault="00000000">
      <w:pPr>
        <w:pStyle w:val="NormalWeb"/>
        <w:jc w:val="both"/>
      </w:pPr>
      <w:r>
        <w:rPr>
          <w:rFonts w:ascii="Arial" w:hAnsi="Arial" w:cs="Arial"/>
          <w:sz w:val="20"/>
          <w:szCs w:val="20"/>
        </w:rPr>
        <w:t>São consideradas partes relacionadas as pessoas físicas que têm autoridade e responsabilidade de planejar, dirigir e controlar as atividades da Cooperativa e membros próximos da família de tais pessoas, bem como entidades que participam do mesmo grupo econômico ou que são coligadas, controladas ou controladas em conjunto pela entidade que está elaborando seus demonstrativos financeiros, conforme CPC 05 (R1) – Divulgação sobre Partes Relacionadas (Comitê de Pronunciamentos Contábeis, em 07/10/2010).</w:t>
      </w:r>
    </w:p>
    <w:p w14:paraId="508D5C07" w14:textId="77777777" w:rsidR="00BA3275" w:rsidRDefault="00000000">
      <w:pPr>
        <w:pStyle w:val="NormalWeb"/>
        <w:jc w:val="both"/>
      </w:pPr>
      <w:r>
        <w:rPr>
          <w:rFonts w:ascii="Arial" w:hAnsi="Arial" w:cs="Arial"/>
          <w:sz w:val="20"/>
          <w:szCs w:val="20"/>
        </w:rPr>
        <w:t>Dessa forma, para fins de elaboração e divulgação das demonstrações financeiras e respectivas notas explicativas, não são consideradas partes relacionadas os membros do Conselho Fiscal.</w:t>
      </w:r>
    </w:p>
    <w:p w14:paraId="5A104771" w14:textId="77777777" w:rsidR="00BA3275" w:rsidRDefault="00000000">
      <w:pPr>
        <w:pStyle w:val="NormalWeb"/>
        <w:jc w:val="both"/>
      </w:pPr>
      <w:r>
        <w:rPr>
          <w:rFonts w:ascii="Arial" w:hAnsi="Arial" w:cs="Arial"/>
          <w:sz w:val="20"/>
          <w:szCs w:val="20"/>
        </w:rPr>
        <w:t>As operações são realizadas no contexto das atividades operacionais da Cooperativa e de suas atribuições, estabelecidas em regulamentação específica.</w:t>
      </w:r>
    </w:p>
    <w:p w14:paraId="3D919E28" w14:textId="77777777" w:rsidR="00BA3275" w:rsidRDefault="00000000">
      <w:pPr>
        <w:pStyle w:val="NormalWeb"/>
      </w:pPr>
      <w:r>
        <w:rPr>
          <w:rFonts w:ascii="Arial" w:hAnsi="Arial" w:cs="Arial"/>
          <w:b/>
          <w:bCs/>
          <w:sz w:val="20"/>
          <w:szCs w:val="20"/>
        </w:rPr>
        <w:t>31.1 Transações com Partes Relacionadas e Remuneração de Pessoal Chave da Administração</w:t>
      </w:r>
    </w:p>
    <w:p w14:paraId="166D31C9" w14:textId="77777777" w:rsidR="00BA3275" w:rsidRDefault="00000000">
      <w:pPr>
        <w:pStyle w:val="NormalWeb"/>
        <w:jc w:val="both"/>
      </w:pPr>
      <w:r>
        <w:rPr>
          <w:rFonts w:ascii="Arial" w:hAnsi="Arial" w:cs="Arial"/>
          <w:sz w:val="20"/>
          <w:szCs w:val="20"/>
        </w:rPr>
        <w:t>As operações com tais partes relacionadas e caracterizam-se basicamente por transações financeiras em regime normal de operações, com a observância irrestrita das limitações impostas pelas normas do Banco Central, tais como movimentação de contas correntes, aplicações e resgates de RDC e operações de crédito.</w:t>
      </w:r>
    </w:p>
    <w:p w14:paraId="761BA9E8" w14:textId="77777777" w:rsidR="00BA3275" w:rsidRDefault="00000000">
      <w:pPr>
        <w:pStyle w:val="NormalWeb"/>
        <w:jc w:val="both"/>
      </w:pPr>
      <w:r>
        <w:rPr>
          <w:rFonts w:ascii="Arial" w:hAnsi="Arial" w:cs="Arial"/>
          <w:sz w:val="20"/>
          <w:szCs w:val="20"/>
        </w:rPr>
        <w:t>As garantias oferecidas em razão das operações de crédito são: avais, garantias hipotecárias, caução e alienação fiduciária.</w:t>
      </w:r>
    </w:p>
    <w:p w14:paraId="1E522AD6" w14:textId="77777777" w:rsidR="00BA3275" w:rsidRDefault="00000000">
      <w:pPr>
        <w:pStyle w:val="NormalWeb"/>
        <w:jc w:val="both"/>
      </w:pPr>
      <w:r>
        <w:rPr>
          <w:rFonts w:ascii="Arial" w:hAnsi="Arial" w:cs="Arial"/>
          <w:sz w:val="20"/>
          <w:szCs w:val="20"/>
        </w:rPr>
        <w:t>Conforme a Política de Crédito do Sistema Sicoob, as operações realizadas com membros de órgãos estatutários e pessoas ligadas a eles são deliberadas em última alçada de aprovação, no âmbito do Conselho da Administração ou, quando delegado formalmente, pela Diretoria Executiva, bem como são alvo de acompanhamento especial pela administração da Cooperativa. As taxas aplicadas seguem o normativo vigente à época da concessão da operação.</w:t>
      </w:r>
    </w:p>
    <w:p w14:paraId="51420977" w14:textId="77777777" w:rsidR="00BA3275" w:rsidRDefault="00000000">
      <w:pPr>
        <w:pStyle w:val="NormalWeb"/>
        <w:jc w:val="both"/>
      </w:pPr>
      <w:r>
        <w:rPr>
          <w:rFonts w:ascii="Arial" w:hAnsi="Arial" w:cs="Arial"/>
          <w:sz w:val="20"/>
          <w:szCs w:val="20"/>
        </w:rPr>
        <w:t>O pessoal-chave de administração inclui os conselheiros e diretores, anualmente são deliberados os montantes de remuneração, benefícios e plano de previdência complementar na Assembleia Geral Ordinária, em cumprimento à Lei 5.764/1971 art.44.</w:t>
      </w:r>
    </w:p>
    <w:tbl>
      <w:tblPr>
        <w:tblW w:w="5000" w:type="pct"/>
        <w:tblCellMar>
          <w:left w:w="0" w:type="dxa"/>
          <w:right w:w="0" w:type="dxa"/>
        </w:tblCellMar>
        <w:tblLook w:val="04A0" w:firstRow="1" w:lastRow="0" w:firstColumn="1" w:lastColumn="0" w:noHBand="0" w:noVBand="1"/>
      </w:tblPr>
      <w:tblGrid>
        <w:gridCol w:w="7765"/>
        <w:gridCol w:w="1857"/>
      </w:tblGrid>
      <w:tr w:rsidR="00BA3275" w14:paraId="783485D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D71FD22" w14:textId="77777777" w:rsidR="00BA3275" w:rsidRDefault="00000000">
            <w:pPr>
              <w:jc w:val="center"/>
              <w:rPr>
                <w:rFonts w:eastAsia="Times New Roman"/>
              </w:rPr>
            </w:pPr>
            <w:r>
              <w:rPr>
                <w:rFonts w:ascii="Arial" w:eastAsia="Times New Roman" w:hAnsi="Arial" w:cs="Arial"/>
                <w:b/>
                <w:bCs/>
                <w:sz w:val="16"/>
                <w:szCs w:val="16"/>
              </w:rPr>
              <w:t>Natureza da Operação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908F890"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10FBD14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1FFD85C" w14:textId="77777777" w:rsidR="00BA3275" w:rsidRDefault="00000000">
            <w:pPr>
              <w:rPr>
                <w:rFonts w:eastAsia="Times New Roman"/>
              </w:rPr>
            </w:pPr>
            <w:r>
              <w:rPr>
                <w:rFonts w:ascii="Arial" w:eastAsia="Times New Roman" w:hAnsi="Arial" w:cs="Arial"/>
                <w:b/>
                <w:bCs/>
                <w:sz w:val="16"/>
                <w:szCs w:val="16"/>
              </w:rPr>
              <w:t>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1C0516" w14:textId="77777777" w:rsidR="00BA3275" w:rsidRDefault="00000000">
            <w:pPr>
              <w:rPr>
                <w:rFonts w:eastAsia="Times New Roman"/>
              </w:rPr>
            </w:pPr>
            <w:r>
              <w:rPr>
                <w:rFonts w:ascii="Arial" w:eastAsia="Times New Roman" w:hAnsi="Arial" w:cs="Arial"/>
                <w:sz w:val="16"/>
                <w:szCs w:val="16"/>
              </w:rPr>
              <w:t> </w:t>
            </w:r>
          </w:p>
        </w:tc>
      </w:tr>
      <w:tr w:rsidR="00BA3275" w14:paraId="7D25802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798FBD8" w14:textId="77777777" w:rsidR="00BA3275" w:rsidRDefault="00000000">
            <w:pPr>
              <w:rPr>
                <w:rFonts w:eastAsia="Times New Roman"/>
              </w:rPr>
            </w:pPr>
            <w:r>
              <w:rPr>
                <w:rFonts w:ascii="Arial" w:eastAsia="Times New Roman" w:hAnsi="Arial" w:cs="Arial"/>
                <w:sz w:val="16"/>
                <w:szCs w:val="16"/>
              </w:rPr>
              <w:t>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3025FE4" w14:textId="77777777" w:rsidR="00BA3275" w:rsidRDefault="00000000">
            <w:pPr>
              <w:jc w:val="right"/>
              <w:rPr>
                <w:rFonts w:eastAsia="Times New Roman"/>
              </w:rPr>
            </w:pPr>
            <w:r>
              <w:rPr>
                <w:rFonts w:ascii="Arial" w:eastAsia="Times New Roman" w:hAnsi="Arial" w:cs="Arial"/>
                <w:sz w:val="16"/>
                <w:szCs w:val="16"/>
              </w:rPr>
              <w:t>30.731.769,37</w:t>
            </w:r>
          </w:p>
        </w:tc>
      </w:tr>
      <w:tr w:rsidR="00BA3275" w14:paraId="260DE56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2B309BA" w14:textId="77777777" w:rsidR="00BA3275" w:rsidRDefault="00000000">
            <w:pPr>
              <w:rPr>
                <w:rFonts w:eastAsia="Times New Roman"/>
              </w:rPr>
            </w:pPr>
            <w:r>
              <w:rPr>
                <w:rFonts w:ascii="Arial" w:eastAsia="Times New Roman" w:hAnsi="Arial" w:cs="Arial"/>
                <w:sz w:val="16"/>
                <w:szCs w:val="16"/>
              </w:rPr>
              <w:t>Provisão para Perdas Esperadas Associadas ao Risco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988F438" w14:textId="77777777" w:rsidR="00BA3275" w:rsidRDefault="00000000">
            <w:pPr>
              <w:jc w:val="right"/>
              <w:rPr>
                <w:rFonts w:eastAsia="Times New Roman"/>
              </w:rPr>
            </w:pPr>
            <w:r>
              <w:rPr>
                <w:rFonts w:ascii="Arial" w:eastAsia="Times New Roman" w:hAnsi="Arial" w:cs="Arial"/>
                <w:sz w:val="16"/>
                <w:szCs w:val="16"/>
              </w:rPr>
              <w:t>51.911,01</w:t>
            </w:r>
          </w:p>
        </w:tc>
      </w:tr>
      <w:tr w:rsidR="00BA3275" w14:paraId="1BB5D73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E26912E" w14:textId="77777777" w:rsidR="00BA3275" w:rsidRDefault="00000000">
            <w:pPr>
              <w:rPr>
                <w:rFonts w:eastAsia="Times New Roman"/>
              </w:rPr>
            </w:pPr>
            <w:r>
              <w:rPr>
                <w:rFonts w:ascii="Arial" w:eastAsia="Times New Roman" w:hAnsi="Arial" w:cs="Arial"/>
                <w:sz w:val="16"/>
                <w:szCs w:val="16"/>
              </w:rPr>
              <w:t>Taxa média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289CA014" w14:textId="72377B83" w:rsidR="00BA3275" w:rsidRDefault="00153C49">
            <w:pPr>
              <w:jc w:val="right"/>
              <w:rPr>
                <w:rFonts w:eastAsia="Times New Roman"/>
              </w:rPr>
            </w:pPr>
            <w:r>
              <w:rPr>
                <w:rFonts w:ascii="Arial" w:eastAsia="Times New Roman" w:hAnsi="Arial" w:cs="Arial"/>
                <w:sz w:val="16"/>
                <w:szCs w:val="16"/>
              </w:rPr>
              <w:t>1,1</w:t>
            </w:r>
            <w:r w:rsidR="00557E7F">
              <w:rPr>
                <w:rFonts w:ascii="Arial" w:eastAsia="Times New Roman" w:hAnsi="Arial" w:cs="Arial"/>
                <w:sz w:val="16"/>
                <w:szCs w:val="16"/>
              </w:rPr>
              <w:t>2</w:t>
            </w:r>
            <w:r>
              <w:rPr>
                <w:rFonts w:ascii="Arial" w:eastAsia="Times New Roman" w:hAnsi="Arial" w:cs="Arial"/>
                <w:sz w:val="16"/>
                <w:szCs w:val="16"/>
              </w:rPr>
              <w:t>%</w:t>
            </w:r>
          </w:p>
        </w:tc>
      </w:tr>
      <w:tr w:rsidR="00BA3275" w14:paraId="4DDB957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A0F0CF0" w14:textId="77777777" w:rsidR="00BA3275" w:rsidRDefault="00000000">
            <w:pPr>
              <w:rPr>
                <w:rFonts w:eastAsia="Times New Roman"/>
              </w:rPr>
            </w:pPr>
            <w:r>
              <w:rPr>
                <w:rFonts w:ascii="Arial" w:eastAsia="Times New Roman" w:hAnsi="Arial" w:cs="Arial"/>
                <w:sz w:val="16"/>
                <w:szCs w:val="16"/>
              </w:rPr>
              <w:t>Prazo médio (meses)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701B7F" w14:textId="358C9608" w:rsidR="00BA3275" w:rsidRDefault="00153C49">
            <w:pPr>
              <w:jc w:val="right"/>
              <w:rPr>
                <w:rFonts w:eastAsia="Times New Roman"/>
              </w:rPr>
            </w:pPr>
            <w:r>
              <w:rPr>
                <w:rFonts w:ascii="Arial" w:eastAsia="Times New Roman" w:hAnsi="Arial" w:cs="Arial"/>
                <w:sz w:val="16"/>
                <w:szCs w:val="16"/>
              </w:rPr>
              <w:t>4</w:t>
            </w:r>
            <w:r w:rsidR="00557E7F">
              <w:rPr>
                <w:rFonts w:ascii="Arial" w:eastAsia="Times New Roman" w:hAnsi="Arial" w:cs="Arial"/>
                <w:sz w:val="16"/>
                <w:szCs w:val="16"/>
              </w:rPr>
              <w:t>6</w:t>
            </w:r>
          </w:p>
        </w:tc>
      </w:tr>
      <w:tr w:rsidR="00BA3275" w14:paraId="5962063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C0247F4" w14:textId="77777777" w:rsidR="00BA3275" w:rsidRDefault="00000000">
            <w:pP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F4549" w14:textId="77777777" w:rsidR="00BA3275" w:rsidRDefault="00000000">
            <w:pPr>
              <w:rPr>
                <w:rFonts w:eastAsia="Times New Roman"/>
              </w:rPr>
            </w:pPr>
            <w:r>
              <w:rPr>
                <w:rFonts w:ascii="Arial" w:eastAsia="Times New Roman" w:hAnsi="Arial" w:cs="Arial"/>
                <w:sz w:val="16"/>
                <w:szCs w:val="16"/>
              </w:rPr>
              <w:t> </w:t>
            </w:r>
          </w:p>
        </w:tc>
      </w:tr>
      <w:tr w:rsidR="00BA3275" w14:paraId="7214024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0956032" w14:textId="77777777" w:rsidR="00BA3275" w:rsidRDefault="00000000">
            <w:pPr>
              <w:rPr>
                <w:rFonts w:eastAsia="Times New Roman"/>
              </w:rPr>
            </w:pPr>
            <w:r>
              <w:rPr>
                <w:rFonts w:ascii="Arial" w:eastAsia="Times New Roman" w:hAnsi="Arial" w:cs="Arial"/>
                <w:b/>
                <w:bCs/>
                <w:sz w:val="16"/>
                <w:szCs w:val="16"/>
              </w:rPr>
              <w:t>Operações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982D71" w14:textId="77777777" w:rsidR="00BA3275" w:rsidRDefault="00000000">
            <w:pPr>
              <w:rPr>
                <w:rFonts w:eastAsia="Times New Roman"/>
              </w:rPr>
            </w:pPr>
            <w:r>
              <w:rPr>
                <w:rFonts w:ascii="Arial" w:eastAsia="Times New Roman" w:hAnsi="Arial" w:cs="Arial"/>
                <w:sz w:val="16"/>
                <w:szCs w:val="16"/>
              </w:rPr>
              <w:t> </w:t>
            </w:r>
          </w:p>
        </w:tc>
      </w:tr>
      <w:tr w:rsidR="00BA3275" w14:paraId="7A2BCF7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4A7F014" w14:textId="77777777" w:rsidR="00BA3275" w:rsidRDefault="00000000">
            <w:pPr>
              <w:rPr>
                <w:rFonts w:eastAsia="Times New Roman"/>
              </w:rPr>
            </w:pPr>
            <w:r>
              <w:rPr>
                <w:rFonts w:ascii="Arial" w:eastAsia="Times New Roman" w:hAnsi="Arial" w:cs="Arial"/>
                <w:sz w:val="16"/>
                <w:szCs w:val="16"/>
              </w:rPr>
              <w:t>Depósitos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9B1EF08" w14:textId="77777777" w:rsidR="00BA3275" w:rsidRDefault="00000000">
            <w:pPr>
              <w:jc w:val="right"/>
              <w:rPr>
                <w:rFonts w:eastAsia="Times New Roman"/>
              </w:rPr>
            </w:pPr>
            <w:r>
              <w:rPr>
                <w:rFonts w:ascii="Arial" w:eastAsia="Times New Roman" w:hAnsi="Arial" w:cs="Arial"/>
                <w:sz w:val="16"/>
                <w:szCs w:val="16"/>
              </w:rPr>
              <w:t>24.647.787,81</w:t>
            </w:r>
          </w:p>
        </w:tc>
      </w:tr>
      <w:tr w:rsidR="00BA3275" w14:paraId="1295B64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DC3B01E" w14:textId="77777777" w:rsidR="00BA3275" w:rsidRDefault="00000000">
            <w:pPr>
              <w:rPr>
                <w:rFonts w:eastAsia="Times New Roman"/>
              </w:rPr>
            </w:pPr>
            <w:r>
              <w:rPr>
                <w:rFonts w:ascii="Arial" w:eastAsia="Times New Roman" w:hAnsi="Arial" w:cs="Arial"/>
                <w:sz w:val="16"/>
                <w:szCs w:val="16"/>
              </w:rPr>
              <w:t>Letra de Crédito Agronegócio -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57487AA3" w14:textId="034B51AE" w:rsidR="00BA3275" w:rsidRDefault="00000000">
            <w:pPr>
              <w:jc w:val="right"/>
              <w:rPr>
                <w:rFonts w:eastAsia="Times New Roman"/>
              </w:rPr>
            </w:pPr>
            <w:r>
              <w:rPr>
                <w:rFonts w:ascii="Arial" w:eastAsia="Times New Roman" w:hAnsi="Arial" w:cs="Arial"/>
                <w:sz w:val="16"/>
                <w:szCs w:val="16"/>
              </w:rPr>
              <w:t>3.048.47</w:t>
            </w:r>
            <w:r w:rsidR="00153C49">
              <w:rPr>
                <w:rFonts w:ascii="Arial" w:eastAsia="Times New Roman" w:hAnsi="Arial" w:cs="Arial"/>
                <w:sz w:val="16"/>
                <w:szCs w:val="16"/>
              </w:rPr>
              <w:t>5</w:t>
            </w:r>
            <w:r>
              <w:rPr>
                <w:rFonts w:ascii="Arial" w:eastAsia="Times New Roman" w:hAnsi="Arial" w:cs="Arial"/>
                <w:sz w:val="16"/>
                <w:szCs w:val="16"/>
              </w:rPr>
              <w:t>,26</w:t>
            </w:r>
          </w:p>
        </w:tc>
      </w:tr>
      <w:tr w:rsidR="00BA3275" w14:paraId="36AD16D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ED2FF0A" w14:textId="77777777" w:rsidR="00BA3275" w:rsidRDefault="00000000">
            <w:pPr>
              <w:rPr>
                <w:rFonts w:eastAsia="Times New Roman"/>
              </w:rPr>
            </w:pPr>
            <w:r>
              <w:rPr>
                <w:rFonts w:ascii="Arial" w:eastAsia="Times New Roman" w:hAnsi="Arial" w:cs="Arial"/>
                <w:sz w:val="16"/>
                <w:szCs w:val="16"/>
              </w:rPr>
              <w:t>Taxa Média Depósitos (% CDI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4F8EDC7A" w14:textId="7026B38B" w:rsidR="00BA3275" w:rsidRDefault="00153C49">
            <w:pPr>
              <w:jc w:val="right"/>
              <w:rPr>
                <w:rFonts w:eastAsia="Times New Roman"/>
              </w:rPr>
            </w:pPr>
            <w:r>
              <w:rPr>
                <w:rFonts w:ascii="Arial" w:eastAsia="Times New Roman" w:hAnsi="Arial" w:cs="Arial"/>
                <w:sz w:val="16"/>
                <w:szCs w:val="16"/>
              </w:rPr>
              <w:t>90,96%</w:t>
            </w:r>
          </w:p>
        </w:tc>
      </w:tr>
      <w:tr w:rsidR="00BA3275" w14:paraId="30FDE1E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9527D91" w14:textId="77777777" w:rsidR="00BA3275" w:rsidRDefault="00000000">
            <w:pPr>
              <w:rPr>
                <w:rFonts w:eastAsia="Times New Roman"/>
              </w:rPr>
            </w:pPr>
            <w:r>
              <w:rPr>
                <w:rFonts w:ascii="Arial" w:eastAsia="Times New Roman" w:hAnsi="Arial" w:cs="Arial"/>
                <w:sz w:val="16"/>
                <w:szCs w:val="16"/>
              </w:rPr>
              <w:t>Taxa Média - LCA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7EB61" w14:textId="2503C8E1" w:rsidR="00BA3275" w:rsidRDefault="00153C49">
            <w:pPr>
              <w:jc w:val="right"/>
              <w:rPr>
                <w:rFonts w:eastAsia="Times New Roman"/>
              </w:rPr>
            </w:pPr>
            <w:r>
              <w:rPr>
                <w:rFonts w:ascii="Arial" w:eastAsia="Times New Roman" w:hAnsi="Arial" w:cs="Arial"/>
                <w:sz w:val="16"/>
                <w:szCs w:val="16"/>
              </w:rPr>
              <w:t>2,20%</w:t>
            </w:r>
          </w:p>
        </w:tc>
      </w:tr>
      <w:tr w:rsidR="00BA3275" w14:paraId="6AEECC2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6D0F3FA" w14:textId="77777777" w:rsidR="00BA3275" w:rsidRDefault="00000000">
            <w:pPr>
              <w:rPr>
                <w:rFonts w:eastAsia="Times New Roman"/>
              </w:rPr>
            </w:pPr>
            <w:r>
              <w:rPr>
                <w:rFonts w:ascii="Arial" w:eastAsia="Times New Roman" w:hAnsi="Arial" w:cs="Arial"/>
                <w:sz w:val="16"/>
                <w:szCs w:val="16"/>
              </w:rPr>
              <w:t>Prazo Médio Depósitos (meses)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92C7E1B" w14:textId="3DB8C62C" w:rsidR="00BA3275" w:rsidRDefault="00000000">
            <w:pPr>
              <w:jc w:val="right"/>
              <w:rPr>
                <w:rFonts w:eastAsia="Times New Roman"/>
              </w:rPr>
            </w:pPr>
            <w:r>
              <w:rPr>
                <w:rFonts w:ascii="Arial" w:eastAsia="Times New Roman" w:hAnsi="Arial" w:cs="Arial"/>
                <w:sz w:val="16"/>
                <w:szCs w:val="16"/>
              </w:rPr>
              <w:t>91</w:t>
            </w:r>
          </w:p>
        </w:tc>
      </w:tr>
      <w:tr w:rsidR="00BA3275" w14:paraId="3C223DD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61B58D9" w14:textId="77777777" w:rsidR="00BA3275" w:rsidRDefault="00000000">
            <w:pPr>
              <w:rPr>
                <w:rFonts w:eastAsia="Times New Roman"/>
              </w:rPr>
            </w:pPr>
            <w:r>
              <w:rPr>
                <w:rFonts w:ascii="Arial" w:eastAsia="Times New Roman" w:hAnsi="Arial" w:cs="Arial"/>
                <w:sz w:val="16"/>
                <w:szCs w:val="16"/>
              </w:rPr>
              <w:t>Prazo Médio - LCA (meses)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22C64C2" w14:textId="155237E5" w:rsidR="00BA3275" w:rsidRDefault="00153C49">
            <w:pPr>
              <w:jc w:val="right"/>
              <w:rPr>
                <w:rFonts w:eastAsia="Times New Roman"/>
              </w:rPr>
            </w:pPr>
            <w:r>
              <w:rPr>
                <w:rFonts w:ascii="Arial" w:eastAsia="Times New Roman" w:hAnsi="Arial" w:cs="Arial"/>
                <w:sz w:val="16"/>
                <w:szCs w:val="16"/>
              </w:rPr>
              <w:t>31</w:t>
            </w:r>
          </w:p>
        </w:tc>
      </w:tr>
      <w:tr w:rsidR="00BA3275" w14:paraId="27046E7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8AB595E" w14:textId="77777777" w:rsidR="00BA3275" w:rsidRDefault="00000000">
            <w:pP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903315" w14:textId="77777777" w:rsidR="00BA3275" w:rsidRDefault="00000000">
            <w:pPr>
              <w:rPr>
                <w:rFonts w:eastAsia="Times New Roman"/>
              </w:rPr>
            </w:pPr>
            <w:r>
              <w:rPr>
                <w:rFonts w:ascii="Arial" w:eastAsia="Times New Roman" w:hAnsi="Arial" w:cs="Arial"/>
                <w:sz w:val="16"/>
                <w:szCs w:val="16"/>
              </w:rPr>
              <w:t> </w:t>
            </w:r>
          </w:p>
        </w:tc>
      </w:tr>
      <w:tr w:rsidR="00BA3275" w14:paraId="77D55B2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00FA4A6" w14:textId="77777777" w:rsidR="00BA3275" w:rsidRDefault="00000000">
            <w:pPr>
              <w:rPr>
                <w:rFonts w:eastAsia="Times New Roman"/>
              </w:rPr>
            </w:pPr>
            <w:r>
              <w:rPr>
                <w:rFonts w:ascii="Arial" w:eastAsia="Times New Roman" w:hAnsi="Arial" w:cs="Arial"/>
                <w:b/>
                <w:bCs/>
                <w:sz w:val="16"/>
                <w:szCs w:val="16"/>
              </w:rPr>
              <w:t>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32C5C15" w14:textId="77777777" w:rsidR="00BA3275" w:rsidRDefault="00000000">
            <w:pPr>
              <w:jc w:val="right"/>
              <w:rPr>
                <w:rFonts w:eastAsia="Times New Roman"/>
              </w:rPr>
            </w:pPr>
            <w:r>
              <w:rPr>
                <w:rFonts w:ascii="Arial" w:eastAsia="Times New Roman" w:hAnsi="Arial" w:cs="Arial"/>
                <w:sz w:val="16"/>
                <w:szCs w:val="16"/>
              </w:rPr>
              <w:t>156.835.811,28</w:t>
            </w:r>
          </w:p>
        </w:tc>
      </w:tr>
      <w:tr w:rsidR="00BA3275" w14:paraId="4E39C8B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F160875" w14:textId="77777777" w:rsidR="00BA3275" w:rsidRDefault="00000000">
            <w:pP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4F59EE" w14:textId="77777777" w:rsidR="00BA3275" w:rsidRDefault="00000000">
            <w:pPr>
              <w:rPr>
                <w:rFonts w:eastAsia="Times New Roman"/>
              </w:rPr>
            </w:pPr>
            <w:r>
              <w:rPr>
                <w:rFonts w:ascii="Arial" w:eastAsia="Times New Roman" w:hAnsi="Arial" w:cs="Arial"/>
                <w:sz w:val="16"/>
                <w:szCs w:val="16"/>
              </w:rPr>
              <w:t> </w:t>
            </w:r>
          </w:p>
        </w:tc>
      </w:tr>
      <w:tr w:rsidR="00BA3275" w14:paraId="6CA8654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9D6ED3A" w14:textId="77777777" w:rsidR="00BA3275" w:rsidRDefault="00000000">
            <w:pPr>
              <w:rPr>
                <w:rFonts w:eastAsia="Times New Roman"/>
              </w:rPr>
            </w:pPr>
            <w:r>
              <w:rPr>
                <w:rFonts w:ascii="Arial" w:eastAsia="Times New Roman" w:hAnsi="Arial" w:cs="Arial"/>
                <w:b/>
                <w:bCs/>
                <w:sz w:val="16"/>
                <w:szCs w:val="16"/>
              </w:rPr>
              <w:t>Capital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557997E" w14:textId="77777777" w:rsidR="00BA3275" w:rsidRDefault="00000000">
            <w:pPr>
              <w:jc w:val="right"/>
              <w:rPr>
                <w:rFonts w:eastAsia="Times New Roman"/>
              </w:rPr>
            </w:pPr>
            <w:r>
              <w:rPr>
                <w:rFonts w:ascii="Arial" w:eastAsia="Times New Roman" w:hAnsi="Arial" w:cs="Arial"/>
                <w:sz w:val="16"/>
                <w:szCs w:val="16"/>
              </w:rPr>
              <w:t>6.072.300,95</w:t>
            </w:r>
          </w:p>
        </w:tc>
      </w:tr>
      <w:tr w:rsidR="00BA3275" w14:paraId="5024AE5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342C504" w14:textId="77777777" w:rsidR="00BA3275" w:rsidRDefault="00000000">
            <w:pP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CEB1F" w14:textId="77777777" w:rsidR="00BA3275" w:rsidRDefault="00000000">
            <w:pPr>
              <w:rPr>
                <w:rFonts w:eastAsia="Times New Roman"/>
              </w:rPr>
            </w:pPr>
            <w:r>
              <w:rPr>
                <w:rFonts w:ascii="Arial" w:eastAsia="Times New Roman" w:hAnsi="Arial" w:cs="Arial"/>
                <w:sz w:val="16"/>
                <w:szCs w:val="16"/>
              </w:rPr>
              <w:t> </w:t>
            </w:r>
          </w:p>
        </w:tc>
      </w:tr>
      <w:tr w:rsidR="00BA3275" w14:paraId="46F450F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A424F80" w14:textId="77777777" w:rsidR="00BA3275" w:rsidRDefault="00000000">
            <w:pPr>
              <w:rPr>
                <w:rFonts w:eastAsia="Times New Roman"/>
              </w:rPr>
            </w:pPr>
            <w:r>
              <w:rPr>
                <w:rFonts w:ascii="Arial" w:eastAsia="Times New Roman" w:hAnsi="Arial" w:cs="Arial"/>
                <w:b/>
                <w:bCs/>
                <w:sz w:val="16"/>
                <w:szCs w:val="16"/>
              </w:rPr>
              <w:t>Remuneração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0A4EF" w14:textId="77777777" w:rsidR="00BA3275" w:rsidRDefault="00000000">
            <w:pPr>
              <w:rPr>
                <w:rFonts w:eastAsia="Times New Roman"/>
              </w:rPr>
            </w:pPr>
            <w:r>
              <w:rPr>
                <w:rFonts w:ascii="Arial" w:eastAsia="Times New Roman" w:hAnsi="Arial" w:cs="Arial"/>
                <w:b/>
                <w:bCs/>
                <w:sz w:val="16"/>
                <w:szCs w:val="16"/>
              </w:rPr>
              <w:t> </w:t>
            </w:r>
          </w:p>
        </w:tc>
      </w:tr>
      <w:tr w:rsidR="00BA3275" w14:paraId="4CC1B66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5D231E0" w14:textId="77777777" w:rsidR="00BA3275" w:rsidRDefault="00000000">
            <w:pPr>
              <w:rPr>
                <w:rFonts w:eastAsia="Times New Roman"/>
              </w:rPr>
            </w:pPr>
            <w:r>
              <w:rPr>
                <w:rFonts w:ascii="Arial" w:eastAsia="Times New Roman" w:hAnsi="Arial" w:cs="Arial"/>
                <w:sz w:val="16"/>
                <w:szCs w:val="16"/>
              </w:rPr>
              <w:t>Honorários – Diretoria e Conselho de 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BD02FAD" w14:textId="77777777" w:rsidR="00BA3275" w:rsidRDefault="00000000">
            <w:pPr>
              <w:jc w:val="right"/>
              <w:rPr>
                <w:rFonts w:eastAsia="Times New Roman"/>
              </w:rPr>
            </w:pPr>
            <w:r>
              <w:rPr>
                <w:rFonts w:ascii="Arial" w:eastAsia="Times New Roman" w:hAnsi="Arial" w:cs="Arial"/>
                <w:sz w:val="16"/>
                <w:szCs w:val="16"/>
              </w:rPr>
              <w:t>(891.780,68)</w:t>
            </w:r>
          </w:p>
        </w:tc>
      </w:tr>
      <w:tr w:rsidR="00BA3275" w14:paraId="62B06C8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E7F2386" w14:textId="77777777" w:rsidR="00BA3275" w:rsidRDefault="00000000">
            <w:pPr>
              <w:rPr>
                <w:rFonts w:eastAsia="Times New Roman"/>
              </w:rPr>
            </w:pPr>
            <w:r>
              <w:rPr>
                <w:rFonts w:ascii="Arial" w:eastAsia="Times New Roman" w:hAnsi="Arial" w:cs="Arial"/>
                <w:sz w:val="16"/>
                <w:szCs w:val="16"/>
              </w:rPr>
              <w:lastRenderedPageBreak/>
              <w:t>Encargos sociais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82958F" w14:textId="77777777" w:rsidR="00BA3275" w:rsidRDefault="00000000">
            <w:pPr>
              <w:jc w:val="right"/>
              <w:rPr>
                <w:rFonts w:eastAsia="Times New Roman"/>
              </w:rPr>
            </w:pPr>
            <w:r>
              <w:rPr>
                <w:rFonts w:ascii="Arial" w:eastAsia="Times New Roman" w:hAnsi="Arial" w:cs="Arial"/>
                <w:sz w:val="16"/>
                <w:szCs w:val="16"/>
              </w:rPr>
              <w:t>(204.212,51)</w:t>
            </w:r>
          </w:p>
        </w:tc>
      </w:tr>
      <w:tr w:rsidR="00BA3275" w14:paraId="10E2C1B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5409897" w14:textId="77777777" w:rsidR="00BA3275" w:rsidRDefault="00000000">
            <w:pPr>
              <w:rPr>
                <w:rFonts w:eastAsia="Times New Roman"/>
              </w:rPr>
            </w:pPr>
            <w:r>
              <w:rPr>
                <w:rFonts w:ascii="Arial" w:eastAsia="Times New Roman" w:hAnsi="Arial" w:cs="Arial"/>
                <w:sz w:val="16"/>
                <w:szCs w:val="16"/>
              </w:rPr>
              <w:t>Benefícios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A2AA402" w14:textId="77777777" w:rsidR="00BA3275" w:rsidRDefault="00000000">
            <w:pPr>
              <w:jc w:val="right"/>
              <w:rPr>
                <w:rFonts w:eastAsia="Times New Roman"/>
              </w:rPr>
            </w:pPr>
            <w:r>
              <w:rPr>
                <w:rFonts w:ascii="Arial" w:eastAsia="Times New Roman" w:hAnsi="Arial" w:cs="Arial"/>
                <w:sz w:val="16"/>
                <w:szCs w:val="16"/>
              </w:rPr>
              <w:t>(81.753,37)</w:t>
            </w:r>
          </w:p>
        </w:tc>
      </w:tr>
    </w:tbl>
    <w:p w14:paraId="6EE66155" w14:textId="77777777" w:rsidR="00BA3275" w:rsidRDefault="00000000">
      <w:pPr>
        <w:pStyle w:val="NormalWeb"/>
      </w:pPr>
      <w:r>
        <w:rPr>
          <w:rFonts w:ascii="Arial" w:hAnsi="Arial" w:cs="Arial"/>
          <w:b/>
          <w:bCs/>
          <w:sz w:val="20"/>
          <w:szCs w:val="20"/>
        </w:rPr>
        <w:t xml:space="preserve">31.2 Cooperativa Central </w:t>
      </w:r>
    </w:p>
    <w:p w14:paraId="1730EBB3" w14:textId="77777777" w:rsidR="00BA3275" w:rsidRDefault="00000000">
      <w:pPr>
        <w:pStyle w:val="NormalWeb"/>
        <w:jc w:val="both"/>
      </w:pPr>
      <w:r>
        <w:rPr>
          <w:rFonts w:ascii="Arial" w:hAnsi="Arial" w:cs="Arial"/>
          <w:sz w:val="20"/>
          <w:szCs w:val="20"/>
        </w:rPr>
        <w:t>O SICOOB CREDISG, em conjunto com outras Cooperativas Singulares, é filiado à SICOOB CENTRAL CREDIMINAS, que representa o grupo formado por suas afiliadas perante as autoridades monetárias, organismos governamentais e entidades privadas.</w:t>
      </w:r>
    </w:p>
    <w:p w14:paraId="4ACEE235" w14:textId="77777777" w:rsidR="00BA3275" w:rsidRDefault="00000000">
      <w:pPr>
        <w:pStyle w:val="NormalWeb"/>
        <w:jc w:val="both"/>
      </w:pPr>
      <w:r>
        <w:rPr>
          <w:rFonts w:ascii="Arial" w:hAnsi="Arial" w:cs="Arial"/>
          <w:sz w:val="20"/>
          <w:szCs w:val="20"/>
        </w:rPr>
        <w:t>O SICOOB CENTRAL CREDIMINAS, é uma sociedade cooperativista que tem por objetivo a organização em comum em maior escala dos serviços econômico-financeiros e assistenciais de suas filiadas (Cooperativas Singulares), integrando e orientando suas atividades, de forma autônoma e independente, por meio dos instrumentos previstos na legislação pertinente e em normas exaradas pelo Banco Central do Brasil, bem como facilitando a utilização recíproca dos serviços, para a consecução de seus objetivos.</w:t>
      </w:r>
    </w:p>
    <w:p w14:paraId="7DC8DD39" w14:textId="77777777" w:rsidR="00BA3275" w:rsidRDefault="00000000">
      <w:pPr>
        <w:pStyle w:val="NormalWeb"/>
        <w:jc w:val="both"/>
      </w:pPr>
      <w:r>
        <w:rPr>
          <w:rFonts w:ascii="Arial" w:hAnsi="Arial" w:cs="Arial"/>
          <w:sz w:val="20"/>
          <w:szCs w:val="20"/>
        </w:rPr>
        <w:t>Para assegurar a consecução de seus objetivos, cabem ao SICOOB CENTRAL CREDIMINAS a coordenação das atividades de suas filiadas, a difusão e o fomento do cooperativismo de crédito, a orientação e aplicação dos recursos captados, a implantação e implementação de controles internos voltados para os sistemas que acompanhem informações econômico-financeiras, operacionais e gerenciais, entre outras.</w:t>
      </w:r>
    </w:p>
    <w:p w14:paraId="1DDBC8F9" w14:textId="77777777" w:rsidR="00BA3275" w:rsidRDefault="00000000">
      <w:pPr>
        <w:pStyle w:val="NormalWeb"/>
        <w:jc w:val="both"/>
      </w:pPr>
      <w:r>
        <w:rPr>
          <w:rFonts w:ascii="Arial" w:hAnsi="Arial" w:cs="Arial"/>
          <w:sz w:val="20"/>
          <w:szCs w:val="20"/>
        </w:rPr>
        <w:t>O SICOOB CREDISG responde solidariamente pelas obrigações contraídas pelo SICOOB CENTRAL CREDIMINAS perante terceiros, até o limite do valor das cotas-partes do capital que subscrever, proporcionalmente, à sua participação nessas operações.</w:t>
      </w:r>
    </w:p>
    <w:p w14:paraId="1A13AE4F" w14:textId="186ECC5E" w:rsidR="00557E7F" w:rsidRDefault="00000000">
      <w:pPr>
        <w:pStyle w:val="NormalWeb"/>
        <w:jc w:val="both"/>
      </w:pPr>
      <w:r>
        <w:rPr>
          <w:rFonts w:ascii="Arial" w:hAnsi="Arial" w:cs="Arial"/>
          <w:sz w:val="20"/>
          <w:szCs w:val="20"/>
        </w:rPr>
        <w:t>Saldos das transações da Cooperativa com o SICOOB CENTRAL CREDIMINAS:</w:t>
      </w:r>
    </w:p>
    <w:tbl>
      <w:tblPr>
        <w:tblW w:w="5000" w:type="pct"/>
        <w:tblCellMar>
          <w:left w:w="0" w:type="dxa"/>
          <w:right w:w="0" w:type="dxa"/>
        </w:tblCellMar>
        <w:tblLook w:val="04A0" w:firstRow="1" w:lastRow="0" w:firstColumn="1" w:lastColumn="0" w:noHBand="0" w:noVBand="1"/>
      </w:tblPr>
      <w:tblGrid>
        <w:gridCol w:w="7867"/>
        <w:gridCol w:w="1755"/>
      </w:tblGrid>
      <w:tr w:rsidR="00BA3275" w14:paraId="78408B3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6926FA6" w14:textId="77777777" w:rsidR="00BA3275"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AD21370"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150477C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F2AEEBD" w14:textId="77777777" w:rsidR="00BA3275" w:rsidRDefault="00000000">
            <w:pPr>
              <w:jc w:val="center"/>
              <w:rPr>
                <w:rFonts w:eastAsia="Times New Roman"/>
              </w:rPr>
            </w:pPr>
            <w:r>
              <w:rPr>
                <w:rFonts w:ascii="Arial" w:eastAsia="Times New Roman" w:hAnsi="Arial" w:cs="Arial"/>
                <w:b/>
                <w:bCs/>
                <w:sz w:val="16"/>
                <w:szCs w:val="16"/>
              </w:rPr>
              <w:t>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D15B66F" w14:textId="77777777" w:rsidR="00BA3275" w:rsidRDefault="00000000">
            <w:pPr>
              <w:jc w:val="center"/>
              <w:rPr>
                <w:rFonts w:eastAsia="Times New Roman"/>
              </w:rPr>
            </w:pPr>
            <w:r>
              <w:rPr>
                <w:rFonts w:ascii="Arial" w:eastAsia="Times New Roman" w:hAnsi="Arial" w:cs="Arial"/>
                <w:b/>
                <w:bCs/>
                <w:sz w:val="16"/>
                <w:szCs w:val="16"/>
              </w:rPr>
              <w:t> </w:t>
            </w:r>
          </w:p>
        </w:tc>
      </w:tr>
      <w:tr w:rsidR="00BA3275" w14:paraId="767F415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773AA4A" w14:textId="4EC0926A" w:rsidR="00BA3275" w:rsidRDefault="00000000">
            <w:pPr>
              <w:rPr>
                <w:rFonts w:eastAsia="Times New Roman"/>
              </w:rPr>
            </w:pPr>
            <w:r>
              <w:rPr>
                <w:rFonts w:ascii="Arial" w:eastAsia="Times New Roman" w:hAnsi="Arial" w:cs="Arial"/>
                <w:sz w:val="16"/>
                <w:szCs w:val="16"/>
              </w:rPr>
              <w:t>Ativo - Relações Interfinanceiras - Centralização Financeira</w:t>
            </w:r>
            <w:r w:rsidR="00F90EE6">
              <w:rPr>
                <w:rFonts w:ascii="Arial" w:eastAsia="Times New Roman" w:hAnsi="Arial" w:cs="Arial"/>
                <w:sz w:val="16"/>
                <w:szCs w:val="16"/>
              </w:rPr>
              <w:t xml:space="preserve"> – Nota 5. a</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8BE09" w14:textId="77777777" w:rsidR="00BA3275" w:rsidRDefault="00000000">
            <w:pPr>
              <w:jc w:val="right"/>
              <w:rPr>
                <w:rFonts w:eastAsia="Times New Roman"/>
              </w:rPr>
            </w:pPr>
            <w:r>
              <w:rPr>
                <w:rFonts w:ascii="Arial" w:eastAsia="Times New Roman" w:hAnsi="Arial" w:cs="Arial"/>
                <w:sz w:val="16"/>
                <w:szCs w:val="16"/>
              </w:rPr>
              <w:t>532.928.335,47</w:t>
            </w:r>
          </w:p>
        </w:tc>
      </w:tr>
      <w:tr w:rsidR="00BA3275" w14:paraId="5825AF7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AFAEA9F" w14:textId="569711FF" w:rsidR="00BA3275" w:rsidRDefault="00000000">
            <w:pPr>
              <w:rPr>
                <w:rFonts w:eastAsia="Times New Roman"/>
              </w:rPr>
            </w:pPr>
            <w:r>
              <w:rPr>
                <w:rFonts w:ascii="Arial" w:eastAsia="Times New Roman" w:hAnsi="Arial" w:cs="Arial"/>
                <w:sz w:val="16"/>
                <w:szCs w:val="16"/>
              </w:rPr>
              <w:t>Ativo - Participações de Cooperativas</w:t>
            </w:r>
            <w:r w:rsidR="00F90EE6">
              <w:rPr>
                <w:rFonts w:ascii="Arial" w:eastAsia="Times New Roman" w:hAnsi="Arial" w:cs="Arial"/>
                <w:sz w:val="16"/>
                <w:szCs w:val="16"/>
              </w:rPr>
              <w:t xml:space="preserve"> – Nota 6.1</w:t>
            </w:r>
          </w:p>
        </w:tc>
        <w:tc>
          <w:tcPr>
            <w:tcW w:w="0" w:type="auto"/>
            <w:tcBorders>
              <w:top w:val="outset" w:sz="6" w:space="0" w:color="auto"/>
              <w:left w:val="outset" w:sz="6" w:space="0" w:color="auto"/>
              <w:bottom w:val="outset" w:sz="6" w:space="0" w:color="auto"/>
              <w:right w:val="outset" w:sz="6" w:space="0" w:color="auto"/>
            </w:tcBorders>
            <w:vAlign w:val="center"/>
            <w:hideMark/>
          </w:tcPr>
          <w:p w14:paraId="57078FD4" w14:textId="77777777" w:rsidR="00BA3275" w:rsidRDefault="00000000">
            <w:pPr>
              <w:jc w:val="right"/>
              <w:rPr>
                <w:rFonts w:eastAsia="Times New Roman"/>
              </w:rPr>
            </w:pPr>
            <w:r>
              <w:rPr>
                <w:rFonts w:ascii="Arial" w:eastAsia="Times New Roman" w:hAnsi="Arial" w:cs="Arial"/>
                <w:sz w:val="16"/>
                <w:szCs w:val="16"/>
              </w:rPr>
              <w:t>32.570.045,57</w:t>
            </w:r>
          </w:p>
        </w:tc>
      </w:tr>
      <w:tr w:rsidR="00BA3275" w14:paraId="7B1CECF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8C8BD26" w14:textId="6E2A62A3" w:rsidR="00BA3275" w:rsidRDefault="00000000">
            <w:pPr>
              <w:rPr>
                <w:rFonts w:eastAsia="Times New Roman"/>
              </w:rPr>
            </w:pPr>
            <w:r>
              <w:rPr>
                <w:rFonts w:ascii="Arial" w:eastAsia="Times New Roman" w:hAnsi="Arial" w:cs="Arial"/>
                <w:sz w:val="16"/>
                <w:szCs w:val="16"/>
              </w:rPr>
              <w:t>Ativo - Rendimentos Centralização Financeiras a Receber</w:t>
            </w:r>
            <w:r w:rsidR="00F90EE6">
              <w:rPr>
                <w:rFonts w:ascii="Arial" w:eastAsia="Times New Roman" w:hAnsi="Arial" w:cs="Arial"/>
                <w:sz w:val="16"/>
                <w:szCs w:val="16"/>
              </w:rPr>
              <w:t xml:space="preserve"> – Nota 7.1</w:t>
            </w:r>
          </w:p>
        </w:tc>
        <w:tc>
          <w:tcPr>
            <w:tcW w:w="0" w:type="auto"/>
            <w:tcBorders>
              <w:top w:val="outset" w:sz="6" w:space="0" w:color="auto"/>
              <w:left w:val="outset" w:sz="6" w:space="0" w:color="auto"/>
              <w:bottom w:val="outset" w:sz="6" w:space="0" w:color="auto"/>
              <w:right w:val="outset" w:sz="6" w:space="0" w:color="auto"/>
            </w:tcBorders>
            <w:vAlign w:val="center"/>
            <w:hideMark/>
          </w:tcPr>
          <w:p w14:paraId="080D23A4" w14:textId="77777777" w:rsidR="00BA3275" w:rsidRDefault="00000000">
            <w:pPr>
              <w:jc w:val="right"/>
              <w:rPr>
                <w:rFonts w:eastAsia="Times New Roman"/>
              </w:rPr>
            </w:pPr>
            <w:r>
              <w:rPr>
                <w:rFonts w:ascii="Arial" w:eastAsia="Times New Roman" w:hAnsi="Arial" w:cs="Arial"/>
                <w:sz w:val="16"/>
                <w:szCs w:val="16"/>
              </w:rPr>
              <w:t>5.864.780,11</w:t>
            </w:r>
          </w:p>
        </w:tc>
      </w:tr>
      <w:tr w:rsidR="00BA3275" w14:paraId="01D1736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FBBCE3F" w14:textId="77777777" w:rsidR="00BA3275" w:rsidRDefault="00000000">
            <w:pPr>
              <w:rPr>
                <w:rFonts w:eastAsia="Times New Roman"/>
              </w:rPr>
            </w:pPr>
            <w:r>
              <w:rPr>
                <w:rFonts w:ascii="Arial" w:eastAsia="Times New Roman" w:hAnsi="Arial" w:cs="Arial"/>
                <w:b/>
                <w:bCs/>
                <w:sz w:val="16"/>
                <w:szCs w:val="16"/>
              </w:rPr>
              <w:t>Total de 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2E40CF3" w14:textId="77777777" w:rsidR="00BA3275" w:rsidRDefault="00000000">
            <w:pPr>
              <w:jc w:val="right"/>
              <w:rPr>
                <w:rFonts w:eastAsia="Times New Roman"/>
              </w:rPr>
            </w:pPr>
            <w:r>
              <w:rPr>
                <w:rFonts w:ascii="Arial" w:eastAsia="Times New Roman" w:hAnsi="Arial" w:cs="Arial"/>
                <w:b/>
                <w:bCs/>
                <w:sz w:val="16"/>
                <w:szCs w:val="16"/>
              </w:rPr>
              <w:t>571.363.161,15</w:t>
            </w:r>
          </w:p>
        </w:tc>
      </w:tr>
      <w:tr w:rsidR="00BA3275" w14:paraId="57920D6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B445DC7" w14:textId="77777777" w:rsidR="00BA3275" w:rsidRDefault="00000000">
            <w:pPr>
              <w:jc w:val="cente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CE90B3" w14:textId="77777777" w:rsidR="00BA3275" w:rsidRDefault="00000000">
            <w:pPr>
              <w:jc w:val="center"/>
              <w:rPr>
                <w:rFonts w:eastAsia="Times New Roman"/>
              </w:rPr>
            </w:pPr>
            <w:r>
              <w:rPr>
                <w:rFonts w:ascii="Arial" w:eastAsia="Times New Roman" w:hAnsi="Arial" w:cs="Arial"/>
                <w:sz w:val="16"/>
                <w:szCs w:val="16"/>
              </w:rPr>
              <w:t> </w:t>
            </w:r>
          </w:p>
        </w:tc>
      </w:tr>
      <w:tr w:rsidR="00BA3275" w14:paraId="456FD8B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919E5BE" w14:textId="77777777" w:rsidR="00BA3275" w:rsidRDefault="00000000">
            <w:pPr>
              <w:jc w:val="center"/>
              <w:rPr>
                <w:rFonts w:eastAsia="Times New Roman"/>
              </w:rPr>
            </w:pPr>
            <w:r>
              <w:rPr>
                <w:rFonts w:ascii="Arial" w:eastAsia="Times New Roman" w:hAnsi="Arial" w:cs="Arial"/>
                <w:b/>
                <w:bCs/>
                <w:sz w:val="16"/>
                <w:szCs w:val="16"/>
              </w:rPr>
              <w:t>Operações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8F6705" w14:textId="77777777" w:rsidR="00BA3275" w:rsidRDefault="00000000">
            <w:pPr>
              <w:jc w:val="center"/>
              <w:rPr>
                <w:rFonts w:eastAsia="Times New Roman"/>
              </w:rPr>
            </w:pPr>
            <w:r>
              <w:rPr>
                <w:rFonts w:ascii="Arial" w:eastAsia="Times New Roman" w:hAnsi="Arial" w:cs="Arial"/>
                <w:b/>
                <w:bCs/>
                <w:sz w:val="16"/>
                <w:szCs w:val="16"/>
              </w:rPr>
              <w:t> </w:t>
            </w:r>
          </w:p>
        </w:tc>
      </w:tr>
      <w:tr w:rsidR="00BA3275" w14:paraId="5EC8FC2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EDAFE7C" w14:textId="4D2EE16C" w:rsidR="00BA3275" w:rsidRDefault="00000000">
            <w:pPr>
              <w:rPr>
                <w:rFonts w:eastAsia="Times New Roman"/>
              </w:rPr>
            </w:pPr>
            <w:r>
              <w:rPr>
                <w:rFonts w:ascii="Arial" w:eastAsia="Times New Roman" w:hAnsi="Arial" w:cs="Arial"/>
                <w:sz w:val="16"/>
                <w:szCs w:val="16"/>
              </w:rPr>
              <w:t>Passivo - Repasses Interfinanceiros</w:t>
            </w:r>
            <w:r w:rsidR="00F90EE6">
              <w:rPr>
                <w:rFonts w:ascii="Arial" w:eastAsia="Times New Roman" w:hAnsi="Arial" w:cs="Arial"/>
                <w:sz w:val="16"/>
                <w:szCs w:val="16"/>
              </w:rPr>
              <w:t xml:space="preserve"> – Nota 14.1</w:t>
            </w:r>
          </w:p>
        </w:tc>
        <w:tc>
          <w:tcPr>
            <w:tcW w:w="0" w:type="auto"/>
            <w:tcBorders>
              <w:top w:val="outset" w:sz="6" w:space="0" w:color="auto"/>
              <w:left w:val="outset" w:sz="6" w:space="0" w:color="auto"/>
              <w:bottom w:val="outset" w:sz="6" w:space="0" w:color="auto"/>
              <w:right w:val="outset" w:sz="6" w:space="0" w:color="auto"/>
            </w:tcBorders>
            <w:vAlign w:val="center"/>
            <w:hideMark/>
          </w:tcPr>
          <w:p w14:paraId="6261D8DA" w14:textId="77777777" w:rsidR="00BA3275" w:rsidRDefault="00000000">
            <w:pPr>
              <w:jc w:val="right"/>
              <w:rPr>
                <w:rFonts w:eastAsia="Times New Roman"/>
              </w:rPr>
            </w:pPr>
            <w:r>
              <w:rPr>
                <w:rFonts w:ascii="Arial" w:eastAsia="Times New Roman" w:hAnsi="Arial" w:cs="Arial"/>
                <w:sz w:val="16"/>
                <w:szCs w:val="16"/>
              </w:rPr>
              <w:t>2.985.041,40</w:t>
            </w:r>
          </w:p>
        </w:tc>
      </w:tr>
      <w:tr w:rsidR="00BA3275" w14:paraId="08A0725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F7D957E" w14:textId="77777777" w:rsidR="00BA3275" w:rsidRDefault="00000000">
            <w:pPr>
              <w:rPr>
                <w:rFonts w:eastAsia="Times New Roman"/>
              </w:rPr>
            </w:pPr>
            <w:r>
              <w:rPr>
                <w:rFonts w:ascii="Arial" w:eastAsia="Times New Roman" w:hAnsi="Arial" w:cs="Arial"/>
                <w:b/>
                <w:bCs/>
                <w:sz w:val="16"/>
                <w:szCs w:val="16"/>
              </w:rPr>
              <w:t>Total de Operações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DCE740" w14:textId="77777777" w:rsidR="00BA3275" w:rsidRDefault="00000000">
            <w:pPr>
              <w:jc w:val="right"/>
              <w:rPr>
                <w:rFonts w:eastAsia="Times New Roman"/>
              </w:rPr>
            </w:pPr>
            <w:r>
              <w:rPr>
                <w:rFonts w:ascii="Arial" w:eastAsia="Times New Roman" w:hAnsi="Arial" w:cs="Arial"/>
                <w:b/>
                <w:bCs/>
                <w:sz w:val="16"/>
                <w:szCs w:val="16"/>
              </w:rPr>
              <w:t>2.985.041,40</w:t>
            </w:r>
          </w:p>
        </w:tc>
      </w:tr>
      <w:tr w:rsidR="00BA3275" w14:paraId="17BF0C4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E4F699F" w14:textId="77777777" w:rsidR="00BA3275" w:rsidRDefault="00000000">
            <w:pPr>
              <w:jc w:val="cente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93AF76" w14:textId="77777777" w:rsidR="00BA3275" w:rsidRDefault="00000000">
            <w:pPr>
              <w:jc w:val="center"/>
              <w:rPr>
                <w:rFonts w:eastAsia="Times New Roman"/>
              </w:rPr>
            </w:pPr>
            <w:r>
              <w:rPr>
                <w:rFonts w:ascii="Arial" w:eastAsia="Times New Roman" w:hAnsi="Arial" w:cs="Arial"/>
                <w:sz w:val="16"/>
                <w:szCs w:val="16"/>
              </w:rPr>
              <w:t> </w:t>
            </w:r>
          </w:p>
        </w:tc>
      </w:tr>
      <w:tr w:rsidR="00BA3275" w14:paraId="4554A45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7469B12" w14:textId="77777777" w:rsidR="00BA3275" w:rsidRDefault="00000000">
            <w:pPr>
              <w:jc w:val="center"/>
              <w:rPr>
                <w:rFonts w:eastAsia="Times New Roman"/>
              </w:rPr>
            </w:pPr>
            <w:r>
              <w:rPr>
                <w:rFonts w:ascii="Arial" w:eastAsia="Times New Roman" w:hAnsi="Arial" w:cs="Arial"/>
                <w:b/>
                <w:bCs/>
                <w:sz w:val="16"/>
                <w:szCs w:val="16"/>
              </w:rPr>
              <w:t>Receitas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AB7B984"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5A562D1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B327274" w14:textId="21BC89D8" w:rsidR="00BA3275" w:rsidRDefault="00000000">
            <w:pPr>
              <w:rPr>
                <w:rFonts w:eastAsia="Times New Roman"/>
              </w:rPr>
            </w:pPr>
            <w:r>
              <w:rPr>
                <w:rFonts w:ascii="Arial" w:eastAsia="Times New Roman" w:hAnsi="Arial" w:cs="Arial"/>
                <w:sz w:val="16"/>
                <w:szCs w:val="16"/>
              </w:rPr>
              <w:t>Ingressos de Depósitos Intercooperativos</w:t>
            </w:r>
            <w:r w:rsidR="00F90EE6">
              <w:rPr>
                <w:rFonts w:ascii="Arial" w:eastAsia="Times New Roman" w:hAnsi="Arial" w:cs="Arial"/>
                <w:sz w:val="16"/>
                <w:szCs w:val="16"/>
              </w:rPr>
              <w:t xml:space="preserve"> – Nota </w:t>
            </w:r>
            <w:proofErr w:type="gramStart"/>
            <w:r w:rsidR="00F90EE6">
              <w:rPr>
                <w:rFonts w:ascii="Arial" w:eastAsia="Times New Roman" w:hAnsi="Arial" w:cs="Arial"/>
                <w:sz w:val="16"/>
                <w:szCs w:val="16"/>
              </w:rPr>
              <w:t>5</w:t>
            </w:r>
            <w:r w:rsidR="00C01518">
              <w:rPr>
                <w:rFonts w:ascii="Arial" w:eastAsia="Times New Roman" w:hAnsi="Arial" w:cs="Arial"/>
                <w:sz w:val="16"/>
                <w:szCs w:val="16"/>
              </w:rPr>
              <w:t>.a</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14:paraId="395DB0D8" w14:textId="77777777" w:rsidR="00BA3275" w:rsidRDefault="00000000">
            <w:pPr>
              <w:jc w:val="right"/>
              <w:rPr>
                <w:rFonts w:eastAsia="Times New Roman"/>
              </w:rPr>
            </w:pPr>
            <w:r>
              <w:rPr>
                <w:rFonts w:ascii="Arial" w:eastAsia="Times New Roman" w:hAnsi="Arial" w:cs="Arial"/>
                <w:sz w:val="16"/>
                <w:szCs w:val="16"/>
              </w:rPr>
              <w:t>32.947.889,40</w:t>
            </w:r>
          </w:p>
        </w:tc>
      </w:tr>
      <w:tr w:rsidR="00BA3275" w14:paraId="298ACA1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70D2818" w14:textId="77777777" w:rsidR="00BA3275" w:rsidRDefault="00000000">
            <w:pPr>
              <w:jc w:val="cente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C7FEE8" w14:textId="77777777" w:rsidR="00BA3275" w:rsidRDefault="00000000">
            <w:pPr>
              <w:jc w:val="center"/>
              <w:rPr>
                <w:rFonts w:eastAsia="Times New Roman"/>
              </w:rPr>
            </w:pPr>
            <w:r>
              <w:rPr>
                <w:rFonts w:ascii="Arial" w:eastAsia="Times New Roman" w:hAnsi="Arial" w:cs="Arial"/>
                <w:sz w:val="16"/>
                <w:szCs w:val="16"/>
              </w:rPr>
              <w:t> </w:t>
            </w:r>
          </w:p>
        </w:tc>
      </w:tr>
      <w:tr w:rsidR="00BA3275" w14:paraId="293831D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C78D7CF" w14:textId="77777777" w:rsidR="00BA3275" w:rsidRDefault="00000000">
            <w:pPr>
              <w:jc w:val="center"/>
              <w:rPr>
                <w:rFonts w:eastAsia="Times New Roman"/>
              </w:rPr>
            </w:pPr>
            <w:r>
              <w:rPr>
                <w:rFonts w:ascii="Arial" w:eastAsia="Times New Roman" w:hAnsi="Arial" w:cs="Arial"/>
                <w:b/>
                <w:bCs/>
                <w:sz w:val="16"/>
                <w:szCs w:val="16"/>
              </w:rPr>
              <w:t>Despesas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FC0427" w14:textId="77777777" w:rsidR="00BA3275" w:rsidRDefault="00000000">
            <w:pPr>
              <w:jc w:val="center"/>
              <w:rPr>
                <w:rFonts w:eastAsia="Times New Roman"/>
              </w:rPr>
            </w:pPr>
            <w:r>
              <w:rPr>
                <w:rFonts w:ascii="Arial" w:eastAsia="Times New Roman" w:hAnsi="Arial" w:cs="Arial"/>
                <w:b/>
                <w:bCs/>
                <w:sz w:val="16"/>
                <w:szCs w:val="16"/>
              </w:rPr>
              <w:t> </w:t>
            </w:r>
          </w:p>
        </w:tc>
      </w:tr>
      <w:tr w:rsidR="00BA3275" w14:paraId="76B709C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BDD17F6" w14:textId="1850005B" w:rsidR="00BA3275" w:rsidRDefault="00000000">
            <w:pPr>
              <w:rPr>
                <w:rFonts w:eastAsia="Times New Roman"/>
              </w:rPr>
            </w:pPr>
            <w:r>
              <w:rPr>
                <w:rFonts w:ascii="Arial" w:eastAsia="Times New Roman" w:hAnsi="Arial" w:cs="Arial"/>
                <w:sz w:val="16"/>
                <w:szCs w:val="16"/>
              </w:rPr>
              <w:t>Rateio de Despesas da Central</w:t>
            </w:r>
            <w:r w:rsidR="00F90EE6">
              <w:rPr>
                <w:rFonts w:ascii="Arial" w:eastAsia="Times New Roman" w:hAnsi="Arial" w:cs="Arial"/>
                <w:sz w:val="16"/>
                <w:szCs w:val="16"/>
              </w:rPr>
              <w:t xml:space="preserve"> – Nota 24.1</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D392C" w14:textId="77777777" w:rsidR="00BA3275" w:rsidRDefault="00000000">
            <w:pPr>
              <w:jc w:val="right"/>
              <w:rPr>
                <w:rFonts w:eastAsia="Times New Roman"/>
              </w:rPr>
            </w:pPr>
            <w:r>
              <w:rPr>
                <w:rFonts w:ascii="Arial" w:eastAsia="Times New Roman" w:hAnsi="Arial" w:cs="Arial"/>
                <w:sz w:val="16"/>
                <w:szCs w:val="16"/>
              </w:rPr>
              <w:t>(576.961,53)</w:t>
            </w:r>
          </w:p>
        </w:tc>
      </w:tr>
    </w:tbl>
    <w:p w14:paraId="3700521D" w14:textId="77777777" w:rsidR="00BA3275" w:rsidRDefault="00000000">
      <w:pPr>
        <w:pStyle w:val="NormalWeb"/>
      </w:pPr>
      <w:r>
        <w:rPr>
          <w:rFonts w:ascii="Arial" w:hAnsi="Arial" w:cs="Arial"/>
          <w:b/>
          <w:bCs/>
          <w:sz w:val="20"/>
          <w:szCs w:val="20"/>
        </w:rPr>
        <w:t>32. Índice de Basileia</w:t>
      </w:r>
    </w:p>
    <w:p w14:paraId="0B582F12" w14:textId="0012D562" w:rsidR="007C0A68" w:rsidRDefault="00000000" w:rsidP="00557E7F">
      <w:pPr>
        <w:pStyle w:val="NormalWeb"/>
        <w:jc w:val="both"/>
      </w:pPr>
      <w:r>
        <w:rPr>
          <w:rFonts w:ascii="Arial" w:hAnsi="Arial" w:cs="Arial"/>
          <w:sz w:val="20"/>
          <w:szCs w:val="20"/>
        </w:rPr>
        <w:t xml:space="preserve">As instituições financeiras e demais instituições autorizadas a funcionar pelo Banco Central do Brasil devem manter, permanentemente, o valor do Patrimônio de Referência (PR), apurado nos termos da Resolução CMN nº 5.194/2024, compatível com os riscos de suas atividades, sendo apresentado a seguir o cálculo dos limites: </w:t>
      </w:r>
      <w:r>
        <w:t> </w:t>
      </w:r>
    </w:p>
    <w:tbl>
      <w:tblPr>
        <w:tblW w:w="5000" w:type="pct"/>
        <w:tblCellMar>
          <w:left w:w="0" w:type="dxa"/>
          <w:right w:w="0" w:type="dxa"/>
        </w:tblCellMar>
        <w:tblLook w:val="04A0" w:firstRow="1" w:lastRow="0" w:firstColumn="1" w:lastColumn="0" w:noHBand="0" w:noVBand="1"/>
      </w:tblPr>
      <w:tblGrid>
        <w:gridCol w:w="7417"/>
        <w:gridCol w:w="2211"/>
      </w:tblGrid>
      <w:tr w:rsidR="007C0A68" w:rsidRPr="007C0A68" w14:paraId="23E47831" w14:textId="77777777" w:rsidTr="00C01518">
        <w:trPr>
          <w:trHeight w:val="130"/>
        </w:trPr>
        <w:tc>
          <w:tcPr>
            <w:tcW w:w="7417" w:type="dxa"/>
            <w:tcBorders>
              <w:top w:val="single" w:sz="4" w:space="0" w:color="auto"/>
              <w:left w:val="single" w:sz="4" w:space="0" w:color="auto"/>
              <w:bottom w:val="single" w:sz="4" w:space="0" w:color="auto"/>
              <w:right w:val="single" w:sz="4" w:space="0" w:color="auto"/>
            </w:tcBorders>
            <w:vAlign w:val="center"/>
            <w:hideMark/>
          </w:tcPr>
          <w:p w14:paraId="5112806F" w14:textId="77777777" w:rsidR="007C0A68" w:rsidRPr="007C0A68" w:rsidRDefault="007C0A68" w:rsidP="007C0A68">
            <w:pPr>
              <w:jc w:val="center"/>
              <w:rPr>
                <w:rFonts w:ascii="Arial" w:eastAsia="Times New Roman" w:hAnsi="Arial" w:cs="Arial"/>
                <w:b/>
                <w:bCs/>
                <w:color w:val="000000"/>
                <w:kern w:val="0"/>
                <w:sz w:val="16"/>
                <w:szCs w:val="16"/>
                <w14:ligatures w14:val="none"/>
              </w:rPr>
            </w:pPr>
            <w:r w:rsidRPr="007C0A68">
              <w:rPr>
                <w:rFonts w:ascii="Arial" w:eastAsia="Times New Roman" w:hAnsi="Arial" w:cs="Arial"/>
                <w:b/>
                <w:bCs/>
                <w:color w:val="000000"/>
                <w:kern w:val="0"/>
                <w:sz w:val="16"/>
                <w:szCs w:val="16"/>
                <w14:ligatures w14:val="none"/>
              </w:rPr>
              <w:t>Descrição</w:t>
            </w:r>
          </w:p>
        </w:tc>
        <w:tc>
          <w:tcPr>
            <w:tcW w:w="2211" w:type="dxa"/>
            <w:tcBorders>
              <w:top w:val="single" w:sz="4" w:space="0" w:color="auto"/>
              <w:left w:val="nil"/>
              <w:bottom w:val="single" w:sz="4" w:space="0" w:color="auto"/>
              <w:right w:val="single" w:sz="4" w:space="0" w:color="auto"/>
            </w:tcBorders>
            <w:vAlign w:val="center"/>
            <w:hideMark/>
          </w:tcPr>
          <w:p w14:paraId="4DD5F352" w14:textId="77777777" w:rsidR="007C0A68" w:rsidRPr="007C0A68" w:rsidRDefault="007C0A68" w:rsidP="007C0A68">
            <w:pPr>
              <w:jc w:val="center"/>
              <w:rPr>
                <w:rFonts w:ascii="Arial" w:eastAsia="Times New Roman" w:hAnsi="Arial" w:cs="Arial"/>
                <w:b/>
                <w:bCs/>
                <w:color w:val="000000"/>
                <w:kern w:val="0"/>
                <w:sz w:val="16"/>
                <w:szCs w:val="16"/>
                <w14:ligatures w14:val="none"/>
              </w:rPr>
            </w:pPr>
            <w:r w:rsidRPr="007C0A68">
              <w:rPr>
                <w:rFonts w:ascii="Arial" w:eastAsia="Times New Roman" w:hAnsi="Arial" w:cs="Arial"/>
                <w:b/>
                <w:bCs/>
                <w:color w:val="000000"/>
                <w:kern w:val="0"/>
                <w:sz w:val="16"/>
                <w:szCs w:val="16"/>
                <w14:ligatures w14:val="none"/>
              </w:rPr>
              <w:t>30/06/2025</w:t>
            </w:r>
          </w:p>
        </w:tc>
      </w:tr>
      <w:tr w:rsidR="00C01518" w:rsidRPr="007C0A68" w14:paraId="4098CD72" w14:textId="77777777" w:rsidTr="00C01518">
        <w:trPr>
          <w:trHeight w:val="130"/>
        </w:trPr>
        <w:tc>
          <w:tcPr>
            <w:tcW w:w="7417" w:type="dxa"/>
            <w:tcBorders>
              <w:top w:val="nil"/>
              <w:left w:val="single" w:sz="4" w:space="0" w:color="auto"/>
              <w:bottom w:val="single" w:sz="4" w:space="0" w:color="auto"/>
              <w:right w:val="single" w:sz="4" w:space="0" w:color="auto"/>
            </w:tcBorders>
            <w:vAlign w:val="center"/>
            <w:hideMark/>
          </w:tcPr>
          <w:p w14:paraId="0EE3BCC1" w14:textId="77777777" w:rsidR="00C01518" w:rsidRPr="007C0A68" w:rsidRDefault="00C01518" w:rsidP="00C01518">
            <w:pPr>
              <w:rPr>
                <w:rFonts w:ascii="Arial" w:eastAsia="Times New Roman" w:hAnsi="Arial" w:cs="Arial"/>
                <w:color w:val="000000"/>
                <w:kern w:val="0"/>
                <w:sz w:val="16"/>
                <w:szCs w:val="16"/>
                <w14:ligatures w14:val="none"/>
              </w:rPr>
            </w:pPr>
            <w:r w:rsidRPr="007C0A68">
              <w:rPr>
                <w:rFonts w:ascii="Arial" w:eastAsia="Times New Roman" w:hAnsi="Arial" w:cs="Arial"/>
                <w:color w:val="000000"/>
                <w:kern w:val="0"/>
                <w:sz w:val="16"/>
                <w:szCs w:val="16"/>
                <w14:ligatures w14:val="none"/>
              </w:rPr>
              <w:t>Patrimônio de referência (PR)</w:t>
            </w:r>
          </w:p>
        </w:tc>
        <w:tc>
          <w:tcPr>
            <w:tcW w:w="2211" w:type="dxa"/>
            <w:tcBorders>
              <w:top w:val="nil"/>
              <w:left w:val="nil"/>
              <w:bottom w:val="single" w:sz="4" w:space="0" w:color="auto"/>
              <w:right w:val="single" w:sz="4" w:space="0" w:color="auto"/>
            </w:tcBorders>
            <w:vAlign w:val="center"/>
            <w:hideMark/>
          </w:tcPr>
          <w:p w14:paraId="51CD007E" w14:textId="4F329CC4" w:rsidR="00C01518" w:rsidRPr="007C0A68" w:rsidRDefault="00C01518" w:rsidP="00C01518">
            <w:pPr>
              <w:jc w:val="right"/>
              <w:rPr>
                <w:rFonts w:ascii="Arial" w:eastAsia="Times New Roman" w:hAnsi="Arial" w:cs="Arial"/>
                <w:color w:val="000000"/>
                <w:kern w:val="0"/>
                <w:sz w:val="16"/>
                <w:szCs w:val="16"/>
                <w14:ligatures w14:val="none"/>
              </w:rPr>
            </w:pPr>
            <w:r>
              <w:rPr>
                <w:rFonts w:ascii="Arial" w:hAnsi="Arial" w:cs="Arial"/>
                <w:color w:val="000000"/>
                <w:sz w:val="16"/>
                <w:szCs w:val="16"/>
              </w:rPr>
              <w:t>211.760.646,11</w:t>
            </w:r>
          </w:p>
        </w:tc>
      </w:tr>
      <w:tr w:rsidR="00C01518" w:rsidRPr="007C0A68" w14:paraId="7B151DEC" w14:textId="77777777" w:rsidTr="00C01518">
        <w:trPr>
          <w:trHeight w:val="130"/>
        </w:trPr>
        <w:tc>
          <w:tcPr>
            <w:tcW w:w="7417" w:type="dxa"/>
            <w:tcBorders>
              <w:top w:val="nil"/>
              <w:left w:val="single" w:sz="4" w:space="0" w:color="auto"/>
              <w:bottom w:val="single" w:sz="4" w:space="0" w:color="auto"/>
              <w:right w:val="single" w:sz="4" w:space="0" w:color="auto"/>
            </w:tcBorders>
            <w:vAlign w:val="center"/>
            <w:hideMark/>
          </w:tcPr>
          <w:p w14:paraId="410E68ED" w14:textId="77777777" w:rsidR="00C01518" w:rsidRPr="007C0A68" w:rsidRDefault="00C01518" w:rsidP="00C01518">
            <w:pPr>
              <w:rPr>
                <w:rFonts w:ascii="Arial" w:eastAsia="Times New Roman" w:hAnsi="Arial" w:cs="Arial"/>
                <w:color w:val="000000"/>
                <w:kern w:val="0"/>
                <w:sz w:val="16"/>
                <w:szCs w:val="16"/>
                <w14:ligatures w14:val="none"/>
              </w:rPr>
            </w:pPr>
            <w:r w:rsidRPr="007C0A68">
              <w:rPr>
                <w:rFonts w:ascii="Arial" w:eastAsia="Times New Roman" w:hAnsi="Arial" w:cs="Arial"/>
                <w:color w:val="000000"/>
                <w:kern w:val="0"/>
                <w:sz w:val="16"/>
                <w:szCs w:val="16"/>
                <w14:ligatures w14:val="none"/>
              </w:rPr>
              <w:t>Ativos Ponderados pelo Risco (RWA)</w:t>
            </w:r>
          </w:p>
        </w:tc>
        <w:tc>
          <w:tcPr>
            <w:tcW w:w="2211" w:type="dxa"/>
            <w:tcBorders>
              <w:top w:val="nil"/>
              <w:left w:val="nil"/>
              <w:bottom w:val="single" w:sz="4" w:space="0" w:color="auto"/>
              <w:right w:val="single" w:sz="4" w:space="0" w:color="auto"/>
            </w:tcBorders>
            <w:vAlign w:val="center"/>
            <w:hideMark/>
          </w:tcPr>
          <w:p w14:paraId="60DC361F" w14:textId="2D988A9C" w:rsidR="00C01518" w:rsidRPr="007C0A68" w:rsidRDefault="00C01518" w:rsidP="00C01518">
            <w:pPr>
              <w:jc w:val="right"/>
              <w:rPr>
                <w:rFonts w:ascii="Arial" w:eastAsia="Times New Roman" w:hAnsi="Arial" w:cs="Arial"/>
                <w:color w:val="000000"/>
                <w:kern w:val="0"/>
                <w:sz w:val="16"/>
                <w:szCs w:val="16"/>
                <w14:ligatures w14:val="none"/>
              </w:rPr>
            </w:pPr>
            <w:r>
              <w:rPr>
                <w:rFonts w:ascii="Arial" w:hAnsi="Arial" w:cs="Arial"/>
                <w:color w:val="000000"/>
                <w:sz w:val="16"/>
                <w:szCs w:val="16"/>
              </w:rPr>
              <w:t>705.919.981,00</w:t>
            </w:r>
          </w:p>
        </w:tc>
      </w:tr>
      <w:tr w:rsidR="00C01518" w:rsidRPr="007C0A68" w14:paraId="150B6F49" w14:textId="77777777" w:rsidTr="00C01518">
        <w:trPr>
          <w:trHeight w:val="130"/>
        </w:trPr>
        <w:tc>
          <w:tcPr>
            <w:tcW w:w="7417" w:type="dxa"/>
            <w:tcBorders>
              <w:top w:val="nil"/>
              <w:left w:val="single" w:sz="4" w:space="0" w:color="auto"/>
              <w:bottom w:val="single" w:sz="4" w:space="0" w:color="auto"/>
              <w:right w:val="single" w:sz="4" w:space="0" w:color="auto"/>
            </w:tcBorders>
            <w:vAlign w:val="center"/>
            <w:hideMark/>
          </w:tcPr>
          <w:p w14:paraId="7429DEB1" w14:textId="77777777" w:rsidR="00C01518" w:rsidRPr="007C0A68" w:rsidRDefault="00C01518" w:rsidP="00C01518">
            <w:pPr>
              <w:rPr>
                <w:rFonts w:ascii="Arial" w:eastAsia="Times New Roman" w:hAnsi="Arial" w:cs="Arial"/>
                <w:color w:val="000000"/>
                <w:kern w:val="0"/>
                <w:sz w:val="16"/>
                <w:szCs w:val="16"/>
                <w14:ligatures w14:val="none"/>
              </w:rPr>
            </w:pPr>
            <w:r w:rsidRPr="007C0A68">
              <w:rPr>
                <w:rFonts w:ascii="Arial" w:eastAsia="Times New Roman" w:hAnsi="Arial" w:cs="Arial"/>
                <w:color w:val="000000"/>
                <w:kern w:val="0"/>
                <w:sz w:val="16"/>
                <w:szCs w:val="16"/>
                <w14:ligatures w14:val="none"/>
              </w:rPr>
              <w:t>Índice de Basiléia (mínimo 12%)</w:t>
            </w:r>
          </w:p>
        </w:tc>
        <w:tc>
          <w:tcPr>
            <w:tcW w:w="2211" w:type="dxa"/>
            <w:tcBorders>
              <w:top w:val="nil"/>
              <w:left w:val="nil"/>
              <w:bottom w:val="single" w:sz="4" w:space="0" w:color="auto"/>
              <w:right w:val="single" w:sz="4" w:space="0" w:color="auto"/>
            </w:tcBorders>
            <w:vAlign w:val="center"/>
            <w:hideMark/>
          </w:tcPr>
          <w:p w14:paraId="0551252A" w14:textId="363E99C6" w:rsidR="00C01518" w:rsidRPr="007C0A68" w:rsidRDefault="00C01518" w:rsidP="00C01518">
            <w:pPr>
              <w:jc w:val="right"/>
              <w:rPr>
                <w:rFonts w:ascii="Arial" w:eastAsia="Times New Roman" w:hAnsi="Arial" w:cs="Arial"/>
                <w:color w:val="000000"/>
                <w:kern w:val="0"/>
                <w:sz w:val="16"/>
                <w:szCs w:val="16"/>
                <w14:ligatures w14:val="none"/>
              </w:rPr>
            </w:pPr>
            <w:r>
              <w:rPr>
                <w:rFonts w:ascii="Arial" w:hAnsi="Arial" w:cs="Arial"/>
                <w:color w:val="000000"/>
                <w:sz w:val="16"/>
                <w:szCs w:val="16"/>
              </w:rPr>
              <w:t>29,99%</w:t>
            </w:r>
          </w:p>
        </w:tc>
      </w:tr>
      <w:tr w:rsidR="00C01518" w:rsidRPr="007C0A68" w14:paraId="02DB6922" w14:textId="77777777" w:rsidTr="00C01518">
        <w:trPr>
          <w:trHeight w:val="130"/>
        </w:trPr>
        <w:tc>
          <w:tcPr>
            <w:tcW w:w="7417" w:type="dxa"/>
            <w:tcBorders>
              <w:top w:val="nil"/>
              <w:left w:val="single" w:sz="4" w:space="0" w:color="auto"/>
              <w:bottom w:val="single" w:sz="4" w:space="0" w:color="auto"/>
              <w:right w:val="single" w:sz="4" w:space="0" w:color="auto"/>
            </w:tcBorders>
            <w:vAlign w:val="center"/>
            <w:hideMark/>
          </w:tcPr>
          <w:p w14:paraId="72B911BE" w14:textId="77777777" w:rsidR="00C01518" w:rsidRPr="007C0A68" w:rsidRDefault="00C01518" w:rsidP="00C01518">
            <w:pPr>
              <w:rPr>
                <w:rFonts w:ascii="Arial" w:eastAsia="Times New Roman" w:hAnsi="Arial" w:cs="Arial"/>
                <w:color w:val="000000"/>
                <w:kern w:val="0"/>
                <w:sz w:val="16"/>
                <w:szCs w:val="16"/>
                <w14:ligatures w14:val="none"/>
              </w:rPr>
            </w:pPr>
            <w:r w:rsidRPr="007C0A68">
              <w:rPr>
                <w:rFonts w:ascii="Arial" w:eastAsia="Times New Roman" w:hAnsi="Arial" w:cs="Arial"/>
                <w:color w:val="000000"/>
                <w:kern w:val="0"/>
                <w:sz w:val="16"/>
                <w:szCs w:val="16"/>
                <w14:ligatures w14:val="none"/>
              </w:rPr>
              <w:t>Imobilizado para cálculo do limite</w:t>
            </w:r>
          </w:p>
        </w:tc>
        <w:tc>
          <w:tcPr>
            <w:tcW w:w="2211" w:type="dxa"/>
            <w:tcBorders>
              <w:top w:val="nil"/>
              <w:left w:val="nil"/>
              <w:bottom w:val="single" w:sz="4" w:space="0" w:color="auto"/>
              <w:right w:val="single" w:sz="4" w:space="0" w:color="auto"/>
            </w:tcBorders>
            <w:vAlign w:val="center"/>
            <w:hideMark/>
          </w:tcPr>
          <w:p w14:paraId="40EA9824" w14:textId="3E842898" w:rsidR="00C01518" w:rsidRPr="007C0A68" w:rsidRDefault="00C01518" w:rsidP="00C01518">
            <w:pPr>
              <w:jc w:val="right"/>
              <w:rPr>
                <w:rFonts w:ascii="Arial" w:eastAsia="Times New Roman" w:hAnsi="Arial" w:cs="Arial"/>
                <w:color w:val="000000"/>
                <w:kern w:val="0"/>
                <w:sz w:val="16"/>
                <w:szCs w:val="16"/>
                <w14:ligatures w14:val="none"/>
              </w:rPr>
            </w:pPr>
            <w:r>
              <w:rPr>
                <w:rFonts w:ascii="Arial" w:hAnsi="Arial" w:cs="Arial"/>
                <w:color w:val="000000"/>
                <w:sz w:val="16"/>
                <w:szCs w:val="16"/>
              </w:rPr>
              <w:t>5.497.346,28</w:t>
            </w:r>
          </w:p>
        </w:tc>
      </w:tr>
      <w:tr w:rsidR="00C01518" w:rsidRPr="007C0A68" w14:paraId="023597E3" w14:textId="77777777" w:rsidTr="00C01518">
        <w:trPr>
          <w:trHeight w:val="130"/>
        </w:trPr>
        <w:tc>
          <w:tcPr>
            <w:tcW w:w="7417" w:type="dxa"/>
            <w:tcBorders>
              <w:top w:val="nil"/>
              <w:left w:val="single" w:sz="4" w:space="0" w:color="auto"/>
              <w:bottom w:val="single" w:sz="4" w:space="0" w:color="auto"/>
              <w:right w:val="single" w:sz="4" w:space="0" w:color="auto"/>
            </w:tcBorders>
            <w:vAlign w:val="center"/>
            <w:hideMark/>
          </w:tcPr>
          <w:p w14:paraId="365CFED7" w14:textId="77777777" w:rsidR="00C01518" w:rsidRPr="007C0A68" w:rsidRDefault="00C01518" w:rsidP="00C01518">
            <w:pPr>
              <w:rPr>
                <w:rFonts w:ascii="Arial" w:eastAsia="Times New Roman" w:hAnsi="Arial" w:cs="Arial"/>
                <w:color w:val="000000"/>
                <w:kern w:val="0"/>
                <w:sz w:val="16"/>
                <w:szCs w:val="16"/>
                <w14:ligatures w14:val="none"/>
              </w:rPr>
            </w:pPr>
            <w:r w:rsidRPr="007C0A68">
              <w:rPr>
                <w:rFonts w:ascii="Arial" w:eastAsia="Times New Roman" w:hAnsi="Arial" w:cs="Arial"/>
                <w:color w:val="000000"/>
                <w:kern w:val="0"/>
                <w:sz w:val="16"/>
                <w:szCs w:val="16"/>
                <w14:ligatures w14:val="none"/>
              </w:rPr>
              <w:t>Índice de imobilização (limite 50%)</w:t>
            </w:r>
          </w:p>
        </w:tc>
        <w:tc>
          <w:tcPr>
            <w:tcW w:w="2211" w:type="dxa"/>
            <w:tcBorders>
              <w:top w:val="nil"/>
              <w:left w:val="nil"/>
              <w:bottom w:val="single" w:sz="4" w:space="0" w:color="auto"/>
              <w:right w:val="single" w:sz="4" w:space="0" w:color="auto"/>
            </w:tcBorders>
            <w:vAlign w:val="center"/>
            <w:hideMark/>
          </w:tcPr>
          <w:p w14:paraId="28A94E82" w14:textId="3D0A3A76" w:rsidR="00C01518" w:rsidRPr="007C0A68" w:rsidRDefault="00C01518" w:rsidP="00C01518">
            <w:pPr>
              <w:jc w:val="right"/>
              <w:rPr>
                <w:rFonts w:ascii="Arial" w:eastAsia="Times New Roman" w:hAnsi="Arial" w:cs="Arial"/>
                <w:color w:val="000000"/>
                <w:kern w:val="0"/>
                <w:sz w:val="16"/>
                <w:szCs w:val="16"/>
                <w14:ligatures w14:val="none"/>
              </w:rPr>
            </w:pPr>
            <w:r>
              <w:rPr>
                <w:rFonts w:ascii="Arial" w:hAnsi="Arial" w:cs="Arial"/>
                <w:color w:val="000000"/>
                <w:sz w:val="16"/>
                <w:szCs w:val="16"/>
              </w:rPr>
              <w:t>2,60%</w:t>
            </w:r>
          </w:p>
        </w:tc>
      </w:tr>
    </w:tbl>
    <w:p w14:paraId="35B46DE0" w14:textId="77777777" w:rsidR="00BA3275" w:rsidRDefault="00000000">
      <w:pPr>
        <w:pStyle w:val="NormalWeb"/>
      </w:pPr>
      <w:r>
        <w:rPr>
          <w:rFonts w:ascii="Arial" w:hAnsi="Arial" w:cs="Arial"/>
          <w:b/>
          <w:bCs/>
          <w:sz w:val="20"/>
          <w:szCs w:val="20"/>
        </w:rPr>
        <w:t>33. Benefícios a Empregados</w:t>
      </w:r>
    </w:p>
    <w:p w14:paraId="65E80317" w14:textId="77777777" w:rsidR="00BA3275" w:rsidRDefault="00000000">
      <w:pPr>
        <w:pStyle w:val="NormalWeb"/>
        <w:jc w:val="both"/>
      </w:pPr>
      <w:r>
        <w:rPr>
          <w:rFonts w:ascii="Arial" w:hAnsi="Arial" w:cs="Arial"/>
          <w:sz w:val="20"/>
          <w:szCs w:val="20"/>
        </w:rPr>
        <w:t>A Cooperativa é patrocinadora de um plano de previdência complementar para seus empregados, na modalidade de contribuição definida. O plano é administrado pela Fundação Sicoob de Previdência Privada – Sicoob Previ.</w:t>
      </w:r>
    </w:p>
    <w:p w14:paraId="10CB6598" w14:textId="77777777" w:rsidR="00BA3275" w:rsidRDefault="00000000">
      <w:pPr>
        <w:pStyle w:val="NormalWeb"/>
        <w:jc w:val="both"/>
      </w:pPr>
      <w:r>
        <w:rPr>
          <w:rFonts w:ascii="Arial" w:hAnsi="Arial" w:cs="Arial"/>
          <w:sz w:val="20"/>
          <w:szCs w:val="20"/>
        </w:rPr>
        <w:lastRenderedPageBreak/>
        <w:t>A Cooperativa não possui benefícios de pós emprego a seus empregados, conforme definições do Pronunciamento Técnico CPC 33 (R1), apenas benefícios de curto prazo, conforme montantes apresentados a seguir:</w:t>
      </w:r>
    </w:p>
    <w:tbl>
      <w:tblPr>
        <w:tblW w:w="5000" w:type="pct"/>
        <w:tblCellMar>
          <w:left w:w="0" w:type="dxa"/>
          <w:right w:w="0" w:type="dxa"/>
        </w:tblCellMar>
        <w:tblLook w:val="04A0" w:firstRow="1" w:lastRow="0" w:firstColumn="1" w:lastColumn="0" w:noHBand="0" w:noVBand="1"/>
      </w:tblPr>
      <w:tblGrid>
        <w:gridCol w:w="7166"/>
        <w:gridCol w:w="2456"/>
      </w:tblGrid>
      <w:tr w:rsidR="00BA3275" w14:paraId="1365421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60542B2" w14:textId="77777777" w:rsidR="00BA3275"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2DC95A1" w14:textId="77777777" w:rsidR="00BA3275" w:rsidRDefault="00000000">
            <w:pPr>
              <w:jc w:val="center"/>
              <w:rPr>
                <w:rFonts w:eastAsia="Times New Roman"/>
              </w:rPr>
            </w:pPr>
            <w:r>
              <w:rPr>
                <w:rFonts w:ascii="Arial" w:eastAsia="Times New Roman" w:hAnsi="Arial" w:cs="Arial"/>
                <w:b/>
                <w:bCs/>
                <w:sz w:val="16"/>
                <w:szCs w:val="16"/>
              </w:rPr>
              <w:t>30/06/2025</w:t>
            </w:r>
          </w:p>
        </w:tc>
      </w:tr>
      <w:tr w:rsidR="00BA3275" w14:paraId="53DA5D1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EA45454" w14:textId="77777777" w:rsidR="00BA3275" w:rsidRDefault="00000000">
            <w:pPr>
              <w:rPr>
                <w:rFonts w:eastAsia="Times New Roman"/>
              </w:rPr>
            </w:pPr>
            <w:r>
              <w:rPr>
                <w:rFonts w:ascii="Arial" w:eastAsia="Times New Roman" w:hAnsi="Arial" w:cs="Arial"/>
                <w:sz w:val="16"/>
                <w:szCs w:val="16"/>
              </w:rPr>
              <w:t>Contribuição Previdência Privada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7143DF4C" w14:textId="77777777" w:rsidR="00BA3275" w:rsidRDefault="00000000">
            <w:pPr>
              <w:jc w:val="right"/>
              <w:rPr>
                <w:rFonts w:eastAsia="Times New Roman"/>
              </w:rPr>
            </w:pPr>
            <w:r>
              <w:rPr>
                <w:rFonts w:ascii="Arial" w:eastAsia="Times New Roman" w:hAnsi="Arial" w:cs="Arial"/>
                <w:sz w:val="16"/>
                <w:szCs w:val="16"/>
              </w:rPr>
              <w:t>(8.835,38)</w:t>
            </w:r>
          </w:p>
        </w:tc>
      </w:tr>
      <w:tr w:rsidR="00BA3275" w14:paraId="58B96D3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B315C1E" w14:textId="77777777" w:rsidR="00BA3275"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FA7F046" w14:textId="77777777" w:rsidR="00BA3275" w:rsidRDefault="00000000">
            <w:pPr>
              <w:jc w:val="right"/>
              <w:rPr>
                <w:rFonts w:eastAsia="Times New Roman"/>
              </w:rPr>
            </w:pPr>
            <w:r>
              <w:rPr>
                <w:rFonts w:ascii="Arial" w:eastAsia="Times New Roman" w:hAnsi="Arial" w:cs="Arial"/>
                <w:b/>
                <w:bCs/>
                <w:sz w:val="16"/>
                <w:szCs w:val="16"/>
              </w:rPr>
              <w:t>(8.835,38)</w:t>
            </w:r>
          </w:p>
        </w:tc>
      </w:tr>
    </w:tbl>
    <w:p w14:paraId="5620C119" w14:textId="77777777" w:rsidR="00BA3275" w:rsidRDefault="00000000">
      <w:pPr>
        <w:pStyle w:val="NormalWeb"/>
      </w:pPr>
      <w:r>
        <w:rPr>
          <w:rFonts w:ascii="Arial" w:hAnsi="Arial" w:cs="Arial"/>
          <w:b/>
          <w:bCs/>
          <w:sz w:val="20"/>
          <w:szCs w:val="20"/>
        </w:rPr>
        <w:t xml:space="preserve">34. Gerenciamento de Risco </w:t>
      </w:r>
    </w:p>
    <w:p w14:paraId="419CC163" w14:textId="77777777" w:rsidR="00BA3275" w:rsidRDefault="00000000">
      <w:pPr>
        <w:pStyle w:val="NormalWeb"/>
        <w:jc w:val="both"/>
      </w:pPr>
      <w:r>
        <w:rPr>
          <w:rFonts w:ascii="Arial" w:hAnsi="Arial" w:cs="Arial"/>
          <w:sz w:val="20"/>
          <w:szCs w:val="20"/>
        </w:rPr>
        <w:t>A estrutura de gerenciamento de riscos do Sicoob é realizada de forma centralizada pelo Centro Cooperativo Sicoob (CCS), com base nas políticas, estratégias, nos processos e limites, buscando identificar, mensurar, avaliar, monitorar, reportar, controlar e mitigar os riscos inerentes às suas atividades.</w:t>
      </w:r>
    </w:p>
    <w:p w14:paraId="35B3BC9F" w14:textId="77777777" w:rsidR="00BA3275" w:rsidRDefault="00000000">
      <w:pPr>
        <w:pStyle w:val="NormalWeb"/>
        <w:jc w:val="both"/>
      </w:pPr>
      <w:r>
        <w:rPr>
          <w:rFonts w:ascii="Arial" w:hAnsi="Arial" w:cs="Arial"/>
          <w:sz w:val="20"/>
          <w:szCs w:val="20"/>
        </w:rPr>
        <w:t>A Política Institucional de Gestão Integrada de Riscos e a Política Institucional de Gerenciamento de Capital, bem como as diretrizes de gerenciamento de riscos e de capital, são aprovadas pelo Conselho de Administração do CCS.</w:t>
      </w:r>
    </w:p>
    <w:p w14:paraId="4B57E871" w14:textId="77777777" w:rsidR="00BA3275" w:rsidRDefault="00000000">
      <w:pPr>
        <w:pStyle w:val="NormalWeb"/>
        <w:jc w:val="both"/>
      </w:pPr>
      <w:r>
        <w:rPr>
          <w:rFonts w:ascii="Arial" w:hAnsi="Arial" w:cs="Arial"/>
          <w:sz w:val="20"/>
          <w:szCs w:val="20"/>
        </w:rPr>
        <w:t>O gerenciamento integrado de riscos abrange, no mínimo, riscos de crédito, social, ambiental e climático, mercado, variação das taxas de juros, liquidez, operacional, cibernético e gestão de continuidade de negócios e assegura, de forma contínua e integrada, que os riscos sejam administrados de acordo com os níveis definidos na Declaração de Apetite por Riscos (RAS).</w:t>
      </w:r>
    </w:p>
    <w:p w14:paraId="067D183D" w14:textId="77777777" w:rsidR="00BA3275" w:rsidRDefault="00000000">
      <w:pPr>
        <w:pStyle w:val="NormalWeb"/>
        <w:jc w:val="both"/>
      </w:pPr>
      <w:r>
        <w:rPr>
          <w:rFonts w:ascii="Arial" w:hAnsi="Arial" w:cs="Arial"/>
          <w:sz w:val="20"/>
          <w:szCs w:val="20"/>
        </w:rPr>
        <w:t>O processo de gerenciamento de riscos é segregado e a estrutura organizacional envolvida garante especialização, representação e racionalidade, existindo a adequada disseminação de informações e do fortalecimento da cultura de gerenciamento de riscos no Sicoob.</w:t>
      </w:r>
    </w:p>
    <w:p w14:paraId="08177FD4" w14:textId="77777777" w:rsidR="00BA3275" w:rsidRDefault="00000000">
      <w:pPr>
        <w:pStyle w:val="NormalWeb"/>
        <w:jc w:val="both"/>
      </w:pPr>
      <w:r>
        <w:rPr>
          <w:rFonts w:ascii="Arial" w:hAnsi="Arial" w:cs="Arial"/>
          <w:sz w:val="20"/>
          <w:szCs w:val="20"/>
        </w:rPr>
        <w:t>São adotados procedimentos para o reporte tempestivo aos órgãos de governança, de informações em situação de normalidade e de exceção em relação às políticas de riscos, e programas de testes de estresse para avaliação de situações críticas, que consideram a adoção de medidas de contingência.</w:t>
      </w:r>
    </w:p>
    <w:p w14:paraId="088FAD2E" w14:textId="77777777" w:rsidR="00BA3275" w:rsidRDefault="00000000">
      <w:pPr>
        <w:pStyle w:val="NormalWeb"/>
        <w:jc w:val="both"/>
      </w:pPr>
      <w:r>
        <w:rPr>
          <w:rFonts w:ascii="Arial" w:hAnsi="Arial" w:cs="Arial"/>
          <w:sz w:val="20"/>
          <w:szCs w:val="20"/>
        </w:rPr>
        <w:t>A estrutura centralizada de gerenciamento de riscos e de capital é compatível com a natureza das operações e a complexidade dos produtos e serviços oferecidos, sendo proporcional à dimensão da exposição aos riscos das entidades do Sicoob, e não desonera as responsabilidades das Cooperativas.</w:t>
      </w:r>
    </w:p>
    <w:p w14:paraId="0AF363EE" w14:textId="77777777" w:rsidR="00BA3275" w:rsidRDefault="00000000">
      <w:pPr>
        <w:pStyle w:val="NormalWeb"/>
      </w:pPr>
      <w:r>
        <w:rPr>
          <w:rFonts w:ascii="Arial" w:hAnsi="Arial" w:cs="Arial"/>
          <w:b/>
          <w:bCs/>
          <w:sz w:val="20"/>
          <w:szCs w:val="20"/>
        </w:rPr>
        <w:t>34.1 Risco Operacional</w:t>
      </w:r>
    </w:p>
    <w:p w14:paraId="364D4700" w14:textId="77777777" w:rsidR="00BA3275" w:rsidRDefault="00000000">
      <w:pPr>
        <w:pStyle w:val="NormalWeb"/>
        <w:jc w:val="both"/>
      </w:pPr>
      <w:r>
        <w:rPr>
          <w:rFonts w:ascii="Arial" w:hAnsi="Arial" w:cs="Arial"/>
          <w:sz w:val="20"/>
          <w:szCs w:val="20"/>
        </w:rPr>
        <w:t>As diretrizes para o gerenciamento do risco operacional encontram-se registradas na Política Institucional de Gerenciamento do Risco Operacional, aprovada pela Diretoria e pelo Conselho de Administração do CCS, que prevê procedimentos, métricas e ações padronizadas para todas as entidades do Sicoob.</w:t>
      </w:r>
    </w:p>
    <w:p w14:paraId="4DA9A4EA" w14:textId="77777777" w:rsidR="00BA3275" w:rsidRDefault="00000000">
      <w:pPr>
        <w:pStyle w:val="NormalWeb"/>
        <w:jc w:val="both"/>
      </w:pPr>
      <w:r>
        <w:rPr>
          <w:rFonts w:ascii="Arial" w:hAnsi="Arial" w:cs="Arial"/>
          <w:sz w:val="20"/>
          <w:szCs w:val="20"/>
        </w:rPr>
        <w:t>O processo de gerenciamento de risco operacional consiste na avaliação qualitativa dos riscos por meio das etapas de identificação, avaliação, tratamento, documentação e armazenamento de informações de perdas operacionais e de recuperação de perdas operacionais, testes de avaliação dos sistemas de controle, comunicação e informação.</w:t>
      </w:r>
    </w:p>
    <w:p w14:paraId="00287DA7" w14:textId="77777777" w:rsidR="00BA3275" w:rsidRDefault="00000000">
      <w:pPr>
        <w:pStyle w:val="NormalWeb"/>
        <w:jc w:val="both"/>
      </w:pPr>
      <w:r>
        <w:rPr>
          <w:rFonts w:ascii="Arial" w:hAnsi="Arial" w:cs="Arial"/>
          <w:sz w:val="20"/>
          <w:szCs w:val="20"/>
        </w:rPr>
        <w:t>As perdas operacionais são comunicadas à área Risco Operacional e GCN – Gestão de Continuidade de Negócio, que interage com os gestores das áreas e identifica formalmente as causas, a adequação dos controles implementados e a necessidade de aprimoramento dos processos, inclusive com a inserção de novos controles.</w:t>
      </w:r>
    </w:p>
    <w:p w14:paraId="2C691E93" w14:textId="77777777" w:rsidR="00BA3275" w:rsidRDefault="00000000">
      <w:pPr>
        <w:pStyle w:val="NormalWeb"/>
        <w:jc w:val="both"/>
      </w:pPr>
      <w:r>
        <w:rPr>
          <w:rFonts w:ascii="Arial" w:hAnsi="Arial" w:cs="Arial"/>
          <w:sz w:val="20"/>
          <w:szCs w:val="20"/>
        </w:rPr>
        <w:t>Os resultados são apresentados à Diretoria e ao Conselho de Administração do CCS.</w:t>
      </w:r>
    </w:p>
    <w:p w14:paraId="57C6BC01" w14:textId="77777777" w:rsidR="00BA3275" w:rsidRDefault="00000000">
      <w:pPr>
        <w:pStyle w:val="NormalWeb"/>
        <w:jc w:val="both"/>
      </w:pPr>
      <w:r>
        <w:rPr>
          <w:rFonts w:ascii="Arial" w:hAnsi="Arial" w:cs="Arial"/>
          <w:sz w:val="20"/>
          <w:szCs w:val="20"/>
        </w:rPr>
        <w:t>A metodologia de alocação de capital utilizada para a determinação da parcela de risco operacional (RWAopad) é a Abordagem do Indicador Básico.</w:t>
      </w:r>
    </w:p>
    <w:p w14:paraId="7E2748FA" w14:textId="77777777" w:rsidR="00BA3275" w:rsidRDefault="00000000">
      <w:pPr>
        <w:pStyle w:val="NormalWeb"/>
      </w:pPr>
      <w:r>
        <w:rPr>
          <w:rFonts w:ascii="Arial" w:hAnsi="Arial" w:cs="Arial"/>
          <w:b/>
          <w:bCs/>
          <w:sz w:val="20"/>
          <w:szCs w:val="20"/>
        </w:rPr>
        <w:t>34.2 Risco de Crédito</w:t>
      </w:r>
    </w:p>
    <w:p w14:paraId="44279E20" w14:textId="77777777" w:rsidR="00BA3275" w:rsidRDefault="00000000">
      <w:pPr>
        <w:pStyle w:val="NormalWeb"/>
        <w:jc w:val="both"/>
      </w:pPr>
      <w:r>
        <w:rPr>
          <w:rFonts w:ascii="Arial" w:hAnsi="Arial" w:cs="Arial"/>
          <w:sz w:val="20"/>
          <w:szCs w:val="20"/>
        </w:rPr>
        <w:lastRenderedPageBreak/>
        <w:t>As diretrizes para o gerenciamento do risco de crédito encontram-se registradas na Política Institucional de Gerenciamento do Risco de Crédito, aprovada pela Diretoria e pelo Conselho de Administração do CCS, que prevê procedimentos, métricas e ações padronizadas para todas as entidades do Sicoob.</w:t>
      </w:r>
    </w:p>
    <w:p w14:paraId="3EE9FC7B" w14:textId="77777777" w:rsidR="00BA3275" w:rsidRDefault="00000000">
      <w:pPr>
        <w:pStyle w:val="NormalWeb"/>
        <w:jc w:val="both"/>
      </w:pPr>
      <w:r>
        <w:rPr>
          <w:rFonts w:ascii="Arial" w:hAnsi="Arial" w:cs="Arial"/>
          <w:sz w:val="20"/>
          <w:szCs w:val="20"/>
        </w:rPr>
        <w:t>O CCS é responsável pelo gerenciamento do risco de crédito do Sicoob, atuando na padronização de processos, metodologias de análise de risco de contrapartes e operações, e no monitoramento dos ativos que envolvem o risco de crédito.</w:t>
      </w:r>
    </w:p>
    <w:p w14:paraId="3187BFC5" w14:textId="77777777" w:rsidR="00BA3275" w:rsidRDefault="00000000">
      <w:pPr>
        <w:pStyle w:val="NormalWeb"/>
        <w:jc w:val="both"/>
      </w:pPr>
      <w:r>
        <w:rPr>
          <w:rFonts w:ascii="Arial" w:hAnsi="Arial" w:cs="Arial"/>
          <w:sz w:val="20"/>
          <w:szCs w:val="20"/>
        </w:rPr>
        <w:t>Para mitigar o risco de crédito, o CCS dispõe de modelos de análise e de classificação de riscos com base em dados quantitativos e qualitativos, a fim de subsidiar o processo de cálculo do risco e de limites de crédito da contraparte, visando manter a boa qualidade da carteira. O CCS realiza testes periódicos de seus modelos, garantindo a aderência à condição econômico-financeira da contraparte. Realiza, ainda, o monitoramento da inadimplência da carteira e o acompanhamento das classificações das operações de acordo com a Resolução CMN nº 4.966/2021.</w:t>
      </w:r>
    </w:p>
    <w:p w14:paraId="3FD4AE2D" w14:textId="77777777" w:rsidR="00BA3275" w:rsidRDefault="00000000">
      <w:pPr>
        <w:pStyle w:val="NormalWeb"/>
        <w:jc w:val="both"/>
      </w:pPr>
      <w:r>
        <w:rPr>
          <w:rFonts w:ascii="Arial" w:hAnsi="Arial" w:cs="Arial"/>
          <w:sz w:val="20"/>
          <w:szCs w:val="20"/>
        </w:rPr>
        <w:t>A estrutura de gerenciamento de risco de crédito prevê:</w:t>
      </w:r>
    </w:p>
    <w:p w14:paraId="5D2AC45F" w14:textId="77777777" w:rsidR="00BA3275" w:rsidRDefault="00000000">
      <w:pPr>
        <w:pStyle w:val="NormalWeb"/>
        <w:jc w:val="both"/>
      </w:pPr>
      <w:r>
        <w:rPr>
          <w:rFonts w:ascii="Arial" w:hAnsi="Arial" w:cs="Arial"/>
          <w:sz w:val="20"/>
          <w:szCs w:val="20"/>
        </w:rPr>
        <w:t>a) fixação de políticas e estratégias, incluindo limites de riscos;</w:t>
      </w:r>
    </w:p>
    <w:p w14:paraId="4CBC4A0D" w14:textId="77777777" w:rsidR="00BA3275" w:rsidRDefault="00000000">
      <w:pPr>
        <w:pStyle w:val="NormalWeb"/>
        <w:jc w:val="both"/>
      </w:pPr>
      <w:r>
        <w:rPr>
          <w:rFonts w:ascii="Arial" w:hAnsi="Arial" w:cs="Arial"/>
          <w:sz w:val="20"/>
          <w:szCs w:val="20"/>
        </w:rPr>
        <w:t>b) validação dos sistemas, modelos e procedimentos internos;</w:t>
      </w:r>
    </w:p>
    <w:p w14:paraId="6E71B0E2" w14:textId="77777777" w:rsidR="00BA3275" w:rsidRDefault="00000000">
      <w:pPr>
        <w:pStyle w:val="NormalWeb"/>
        <w:jc w:val="both"/>
      </w:pPr>
      <w:r>
        <w:rPr>
          <w:rFonts w:ascii="Arial" w:hAnsi="Arial" w:cs="Arial"/>
          <w:sz w:val="20"/>
          <w:szCs w:val="20"/>
        </w:rPr>
        <w:t>c) estimação (critérios consistentes e prudentes) de perdas associadas ao risco de crédito, bem como a comparação dos valores estimados com as perdas efetivamente observadas;</w:t>
      </w:r>
    </w:p>
    <w:p w14:paraId="1A9BB7FA" w14:textId="77777777" w:rsidR="00BA3275" w:rsidRDefault="00000000">
      <w:pPr>
        <w:pStyle w:val="NormalWeb"/>
        <w:jc w:val="both"/>
      </w:pPr>
      <w:r>
        <w:rPr>
          <w:rFonts w:ascii="Arial" w:hAnsi="Arial" w:cs="Arial"/>
          <w:sz w:val="20"/>
          <w:szCs w:val="20"/>
        </w:rPr>
        <w:t>d) acompanhamento específico das operações com partes relacionadas;</w:t>
      </w:r>
    </w:p>
    <w:p w14:paraId="62EDBE9F" w14:textId="77777777" w:rsidR="00BA3275" w:rsidRDefault="00000000">
      <w:pPr>
        <w:pStyle w:val="NormalWeb"/>
        <w:jc w:val="both"/>
      </w:pPr>
      <w:r>
        <w:rPr>
          <w:rFonts w:ascii="Arial" w:hAnsi="Arial" w:cs="Arial"/>
          <w:sz w:val="20"/>
          <w:szCs w:val="20"/>
        </w:rPr>
        <w:t>e) procedimentos para o monitoramento das carteiras de crédito;</w:t>
      </w:r>
    </w:p>
    <w:p w14:paraId="55B6BA91" w14:textId="77777777" w:rsidR="00BA3275" w:rsidRDefault="00000000">
      <w:pPr>
        <w:pStyle w:val="NormalWeb"/>
        <w:jc w:val="both"/>
      </w:pPr>
      <w:r>
        <w:rPr>
          <w:rFonts w:ascii="Arial" w:hAnsi="Arial" w:cs="Arial"/>
          <w:sz w:val="20"/>
          <w:szCs w:val="20"/>
        </w:rPr>
        <w:t>f) identificação e tratamento de ativos problemáticos;</w:t>
      </w:r>
    </w:p>
    <w:p w14:paraId="5E204097" w14:textId="77777777" w:rsidR="00BA3275" w:rsidRDefault="00000000">
      <w:pPr>
        <w:pStyle w:val="NormalWeb"/>
        <w:jc w:val="both"/>
      </w:pPr>
      <w:r>
        <w:rPr>
          <w:rFonts w:ascii="Arial" w:hAnsi="Arial" w:cs="Arial"/>
          <w:sz w:val="20"/>
          <w:szCs w:val="20"/>
        </w:rPr>
        <w:t>g) sistemas, rotinas e procedimentos para identificar, mensurar, avaliar, monitorar, reportar, controlar e mitigar a exposição ao risco de crédito;</w:t>
      </w:r>
    </w:p>
    <w:p w14:paraId="165ABA9F" w14:textId="77777777" w:rsidR="00BA3275" w:rsidRDefault="00000000">
      <w:pPr>
        <w:pStyle w:val="NormalWeb"/>
        <w:jc w:val="both"/>
      </w:pPr>
      <w:r>
        <w:rPr>
          <w:rFonts w:ascii="Arial" w:hAnsi="Arial" w:cs="Arial"/>
          <w:sz w:val="20"/>
          <w:szCs w:val="20"/>
        </w:rPr>
        <w:t>h) monitoramento e reporte dos limites de apetite por riscos;</w:t>
      </w:r>
    </w:p>
    <w:p w14:paraId="31B63077" w14:textId="77777777" w:rsidR="00BA3275" w:rsidRDefault="00000000">
      <w:pPr>
        <w:pStyle w:val="NormalWeb"/>
        <w:jc w:val="both"/>
      </w:pPr>
      <w:r>
        <w:rPr>
          <w:rFonts w:ascii="Arial" w:hAnsi="Arial" w:cs="Arial"/>
          <w:sz w:val="20"/>
          <w:szCs w:val="20"/>
        </w:rPr>
        <w:t>i) informações gerenciais periódicas para os órgãos de governança;</w:t>
      </w:r>
    </w:p>
    <w:p w14:paraId="356E22BE" w14:textId="77777777" w:rsidR="00BA3275" w:rsidRDefault="00000000">
      <w:pPr>
        <w:pStyle w:val="NormalWeb"/>
        <w:jc w:val="both"/>
      </w:pPr>
      <w:r>
        <w:rPr>
          <w:rFonts w:ascii="Arial" w:hAnsi="Arial" w:cs="Arial"/>
          <w:sz w:val="20"/>
          <w:szCs w:val="20"/>
        </w:rPr>
        <w:t>j) área responsável pelo cálculo do nível de provisão para perdas esperadas associadas ao risco de crédito;</w:t>
      </w:r>
    </w:p>
    <w:p w14:paraId="5D37A0DF" w14:textId="77777777" w:rsidR="00BA3275" w:rsidRDefault="00000000">
      <w:pPr>
        <w:pStyle w:val="NormalWeb"/>
        <w:jc w:val="both"/>
      </w:pPr>
      <w:r>
        <w:rPr>
          <w:rFonts w:ascii="Arial" w:hAnsi="Arial" w:cs="Arial"/>
          <w:sz w:val="20"/>
          <w:szCs w:val="20"/>
        </w:rPr>
        <w:t>k) modelos para a avaliação do risco de crédito de contraparte, de acordo com a operação e com o público envolvido, que levam em conta características específicas dos entes, bem como questões setoriais e macroeconômicas;</w:t>
      </w:r>
    </w:p>
    <w:p w14:paraId="3A2380A6" w14:textId="77777777" w:rsidR="00BA3275" w:rsidRDefault="00000000">
      <w:pPr>
        <w:pStyle w:val="NormalWeb"/>
        <w:jc w:val="both"/>
      </w:pPr>
      <w:r>
        <w:rPr>
          <w:rFonts w:ascii="Arial" w:hAnsi="Arial" w:cs="Arial"/>
          <w:sz w:val="20"/>
          <w:szCs w:val="20"/>
        </w:rPr>
        <w:t>l) aplicação de testes de estresse, identificando e avaliando potenciais vulnerabilidades da Instituição;</w:t>
      </w:r>
    </w:p>
    <w:p w14:paraId="7F0B40E2" w14:textId="77777777" w:rsidR="00BA3275" w:rsidRDefault="00000000">
      <w:pPr>
        <w:pStyle w:val="NormalWeb"/>
        <w:jc w:val="both"/>
      </w:pPr>
      <w:r>
        <w:rPr>
          <w:rFonts w:ascii="Arial" w:hAnsi="Arial" w:cs="Arial"/>
          <w:sz w:val="20"/>
          <w:szCs w:val="20"/>
        </w:rPr>
        <w:t>m) limites de crédito para cada contraparte e limites globais por carteira ou por linha de crédito;</w:t>
      </w:r>
    </w:p>
    <w:p w14:paraId="6DC52379" w14:textId="77777777" w:rsidR="00BA3275" w:rsidRDefault="00000000">
      <w:pPr>
        <w:pStyle w:val="NormalWeb"/>
        <w:jc w:val="both"/>
      </w:pPr>
      <w:r>
        <w:rPr>
          <w:rFonts w:ascii="Arial" w:hAnsi="Arial" w:cs="Arial"/>
          <w:sz w:val="20"/>
          <w:szCs w:val="20"/>
        </w:rPr>
        <w:t>n) avaliação específica de risco em novos produtos e serviços.</w:t>
      </w:r>
    </w:p>
    <w:p w14:paraId="3EEEBF16" w14:textId="77777777" w:rsidR="00BA3275" w:rsidRDefault="00000000">
      <w:pPr>
        <w:pStyle w:val="NormalWeb"/>
        <w:jc w:val="both"/>
      </w:pPr>
      <w:r>
        <w:rPr>
          <w:rFonts w:ascii="Arial" w:hAnsi="Arial" w:cs="Arial"/>
          <w:sz w:val="20"/>
          <w:szCs w:val="20"/>
        </w:rPr>
        <w:t>As normas internas de gerenciamento do risco de crédito incluem a estrutura organizacional e normativa, os modelos de classificação de risco de tomadores e de operações, os limites globais e individuais, a utilização de sistemas computacionais e o acompanhamento sistematizado contemplando a validação de modelos e conformidade dos processos.</w:t>
      </w:r>
    </w:p>
    <w:p w14:paraId="682578A5" w14:textId="77777777" w:rsidR="00BA3275" w:rsidRDefault="00000000">
      <w:pPr>
        <w:pStyle w:val="NormalWeb"/>
      </w:pPr>
      <w:r>
        <w:rPr>
          <w:rFonts w:ascii="Arial" w:hAnsi="Arial" w:cs="Arial"/>
          <w:b/>
          <w:bCs/>
          <w:sz w:val="20"/>
          <w:szCs w:val="20"/>
        </w:rPr>
        <w:t>34.3 Risco de Mercado e Variação das Taxas de Juros</w:t>
      </w:r>
    </w:p>
    <w:p w14:paraId="009240FD" w14:textId="77777777" w:rsidR="00BA3275" w:rsidRDefault="00000000">
      <w:pPr>
        <w:pStyle w:val="NormalWeb"/>
        <w:jc w:val="both"/>
      </w:pPr>
      <w:r>
        <w:rPr>
          <w:rFonts w:ascii="Arial" w:hAnsi="Arial" w:cs="Arial"/>
          <w:sz w:val="20"/>
          <w:szCs w:val="20"/>
        </w:rPr>
        <w:t xml:space="preserve">As diretrizes para o gerenciamento dos riscos de mercado e de variação das taxas de juros estão descritas na Política Institucional de Gerenciamento do Risco de Mercado e do Risco de Variação das Taxas de Juros </w:t>
      </w:r>
      <w:r>
        <w:rPr>
          <w:rFonts w:ascii="Arial" w:hAnsi="Arial" w:cs="Arial"/>
          <w:sz w:val="20"/>
          <w:szCs w:val="20"/>
        </w:rPr>
        <w:lastRenderedPageBreak/>
        <w:t>e no Manual de Gerenciamento do Risco de Mercado e do IRRBB, aprovados pela Diretoria e pelo Conselho de Administração do CCS, que prevê procedimentos, métricas e ações padronizadas para as Cooperativas do segmento S3 e S4.</w:t>
      </w:r>
    </w:p>
    <w:p w14:paraId="05D3E4BC" w14:textId="77777777" w:rsidR="00BA3275" w:rsidRDefault="00000000">
      <w:pPr>
        <w:pStyle w:val="NormalWeb"/>
        <w:jc w:val="both"/>
      </w:pPr>
      <w:r>
        <w:rPr>
          <w:rFonts w:ascii="Arial" w:hAnsi="Arial" w:cs="Arial"/>
          <w:sz w:val="20"/>
          <w:szCs w:val="20"/>
        </w:rPr>
        <w:t>A estrutura de gerenciamento dos riscos de mercado e de variação das taxas de juros é proporcional à dimensão e à relevância da exposição aos riscos, adequada ao perfil dos riscos e à importância sistêmica da cooperativa, e capacitada para avaliar os riscos decorrentes das condições macroeconômicas e dos mercados em que a cooperativa atua.</w:t>
      </w:r>
    </w:p>
    <w:p w14:paraId="2CFAA3F7" w14:textId="77777777" w:rsidR="00BA3275" w:rsidRDefault="00000000">
      <w:pPr>
        <w:pStyle w:val="NormalWeb"/>
        <w:jc w:val="both"/>
      </w:pPr>
      <w:r>
        <w:rPr>
          <w:rFonts w:ascii="Arial" w:hAnsi="Arial" w:cs="Arial"/>
          <w:sz w:val="20"/>
          <w:szCs w:val="20"/>
        </w:rPr>
        <w:t>O Sicoob dispõe de área especializada para o gerenciamento do risco de mercado e de variação das taxas de juros (IRRBB), com o objetivo de assegurar que o risco das Cooperativas seja administrado de acordo com os níveis definidos na Declaração de Apetite por Riscos (RAS) e com as diretrizes previstas nas políticas e nos manuais institucionais.</w:t>
      </w:r>
    </w:p>
    <w:p w14:paraId="26710B63" w14:textId="77777777" w:rsidR="00BA3275" w:rsidRDefault="00000000">
      <w:pPr>
        <w:pStyle w:val="NormalWeb"/>
        <w:jc w:val="both"/>
      </w:pPr>
      <w:r>
        <w:rPr>
          <w:rFonts w:ascii="Arial" w:hAnsi="Arial" w:cs="Arial"/>
          <w:sz w:val="20"/>
          <w:szCs w:val="20"/>
        </w:rPr>
        <w:t>O sistema de mensuração, monitoramento e controle dos riscos de mercado e de variação das taxas de juros adotado pelo Sicoob baseia-se na aplicação de ferramentas amplamente difundidas, fundamentadas nas melhores práticas de gerenciamento de risco, abrangendo a totalidade das posições das Cooperativas.</w:t>
      </w:r>
    </w:p>
    <w:p w14:paraId="59CEA88C" w14:textId="77777777" w:rsidR="00BA3275" w:rsidRDefault="00000000">
      <w:pPr>
        <w:pStyle w:val="NormalWeb"/>
        <w:jc w:val="both"/>
      </w:pPr>
      <w:r>
        <w:rPr>
          <w:rFonts w:ascii="Arial" w:hAnsi="Arial" w:cs="Arial"/>
          <w:sz w:val="20"/>
          <w:szCs w:val="20"/>
        </w:rPr>
        <w:t>O risco de mercado é definido como a possibilidade de ocorrência de perdas, resultantes da flutuação nos valores de mercado de instrumentos detidos pela instituição, e inclui:</w:t>
      </w:r>
    </w:p>
    <w:p w14:paraId="6824E14E" w14:textId="77777777" w:rsidR="00BA3275" w:rsidRDefault="00000000">
      <w:pPr>
        <w:pStyle w:val="NormalWeb"/>
        <w:jc w:val="both"/>
      </w:pPr>
      <w:r>
        <w:rPr>
          <w:rFonts w:ascii="Arial" w:hAnsi="Arial" w:cs="Arial"/>
          <w:sz w:val="20"/>
          <w:szCs w:val="20"/>
        </w:rPr>
        <w:t>a) O risco de variação das taxas de juros e dos preços de ações, para os instrumentos classificados na carteira de negociação;</w:t>
      </w:r>
    </w:p>
    <w:p w14:paraId="69E458C8" w14:textId="77777777" w:rsidR="00BA3275" w:rsidRDefault="00000000">
      <w:pPr>
        <w:pStyle w:val="NormalWeb"/>
        <w:jc w:val="both"/>
      </w:pPr>
      <w:r>
        <w:rPr>
          <w:rFonts w:ascii="Arial" w:hAnsi="Arial" w:cs="Arial"/>
          <w:sz w:val="20"/>
          <w:szCs w:val="20"/>
        </w:rPr>
        <w:t>b) O risco da variação cambial e dos preços de mercadorias (commodities) para os instrumentos classificados na carteira de negociação ou na carteira bancária.</w:t>
      </w:r>
    </w:p>
    <w:p w14:paraId="782EDCA0" w14:textId="77777777" w:rsidR="00BA3275" w:rsidRDefault="00000000">
      <w:pPr>
        <w:pStyle w:val="NormalWeb"/>
        <w:jc w:val="both"/>
      </w:pPr>
      <w:r>
        <w:rPr>
          <w:rFonts w:ascii="Arial" w:hAnsi="Arial" w:cs="Arial"/>
          <w:sz w:val="20"/>
          <w:szCs w:val="20"/>
        </w:rPr>
        <w:t>O IRRBB é definido com o risco, atual ou prospectivo, do impacto de movimentos adversos das taxas de juros no capital e nos resultados da instituição, para os instrumentos classificados na carteira bancária.</w:t>
      </w:r>
    </w:p>
    <w:p w14:paraId="38D2DC83" w14:textId="77777777" w:rsidR="00BA3275" w:rsidRDefault="00000000">
      <w:pPr>
        <w:pStyle w:val="NormalWeb"/>
        <w:jc w:val="both"/>
      </w:pPr>
      <w:r>
        <w:rPr>
          <w:rFonts w:ascii="Arial" w:hAnsi="Arial" w:cs="Arial"/>
          <w:sz w:val="20"/>
          <w:szCs w:val="20"/>
        </w:rPr>
        <w:t>Para a mensuração do risco de mercado das operações contidas na carteira de negociação, são utilizadas metodologias padronizadas do Banco Central do Brasil (BCB), que estabelece critérios e condições para a apuração das parcelas dos ativos ponderados pelo risco (RWA) para a cobertura do risco decorrente da exposição às taxas de juros, à variação cambial, aos preços de ações e aos preços de mercadorias (commodities).</w:t>
      </w:r>
    </w:p>
    <w:p w14:paraId="0C626722" w14:textId="77777777" w:rsidR="00BA3275" w:rsidRDefault="00000000">
      <w:pPr>
        <w:pStyle w:val="NormalWeb"/>
        <w:jc w:val="both"/>
      </w:pPr>
      <w:r>
        <w:rPr>
          <w:rFonts w:ascii="Arial" w:hAnsi="Arial" w:cs="Arial"/>
          <w:sz w:val="20"/>
          <w:szCs w:val="20"/>
        </w:rPr>
        <w:t>Para a mensuração do risco das operações da carteira bancária sujeitas à variação das taxas de juros, são utilizadas duas metodologias que avaliam o impacto no:</w:t>
      </w:r>
    </w:p>
    <w:p w14:paraId="361B3927" w14:textId="77777777" w:rsidR="00BA3275" w:rsidRDefault="00000000">
      <w:pPr>
        <w:pStyle w:val="NormalWeb"/>
        <w:jc w:val="both"/>
      </w:pPr>
      <w:r>
        <w:rPr>
          <w:rFonts w:ascii="Arial" w:hAnsi="Arial" w:cs="Arial"/>
          <w:sz w:val="20"/>
          <w:szCs w:val="20"/>
        </w:rPr>
        <w:t>a) valor econômico (∆EVE): diferença entre o valor presente do reapreçamento dos fluxos em um cenário-base e o valor presente do reapreçamento em um cenário de choque nas taxas de juros;</w:t>
      </w:r>
    </w:p>
    <w:p w14:paraId="4D6C50AE" w14:textId="77777777" w:rsidR="00BA3275" w:rsidRDefault="00000000">
      <w:pPr>
        <w:pStyle w:val="NormalWeb"/>
        <w:jc w:val="both"/>
      </w:pPr>
      <w:r>
        <w:rPr>
          <w:rFonts w:ascii="Arial" w:hAnsi="Arial" w:cs="Arial"/>
          <w:sz w:val="20"/>
          <w:szCs w:val="20"/>
        </w:rPr>
        <w:t>b) resultado de intermediação financeira (∆NII): diferença entre o resultado de intermediação financeira em um cenário-base e o resultado de intermediação financeira em um cenário de choque nas taxas de juros.</w:t>
      </w:r>
    </w:p>
    <w:p w14:paraId="4F5FEFF0" w14:textId="77777777" w:rsidR="00BA3275" w:rsidRDefault="00000000">
      <w:pPr>
        <w:pStyle w:val="NormalWeb"/>
        <w:jc w:val="both"/>
      </w:pPr>
      <w:r>
        <w:rPr>
          <w:rFonts w:ascii="Arial" w:hAnsi="Arial" w:cs="Arial"/>
          <w:sz w:val="20"/>
          <w:szCs w:val="20"/>
        </w:rPr>
        <w:t>O acompanhamento do risco de mercado e do IRRBB das Cooperativas é realizado por meio da análise e avaliação do conjunto de relatórios, remetidos aos órgãos de governança, comitês e alta administração, que evidenciam, no mínimo:</w:t>
      </w:r>
    </w:p>
    <w:p w14:paraId="2E84A407" w14:textId="77777777" w:rsidR="00BA3275" w:rsidRDefault="00000000">
      <w:pPr>
        <w:pStyle w:val="NormalWeb"/>
        <w:jc w:val="both"/>
      </w:pPr>
      <w:r>
        <w:rPr>
          <w:rFonts w:ascii="Arial" w:hAnsi="Arial" w:cs="Arial"/>
          <w:sz w:val="20"/>
          <w:szCs w:val="20"/>
        </w:rPr>
        <w:t>a) o valor do risco e o consumo de limite da carteira de negociação, nas abordagens padronizadas pelo BCB;</w:t>
      </w:r>
    </w:p>
    <w:p w14:paraId="31957237" w14:textId="77777777" w:rsidR="00BA3275" w:rsidRDefault="00000000">
      <w:pPr>
        <w:pStyle w:val="NormalWeb"/>
        <w:jc w:val="both"/>
      </w:pPr>
      <w:r>
        <w:rPr>
          <w:rFonts w:ascii="Arial" w:hAnsi="Arial" w:cs="Arial"/>
          <w:sz w:val="20"/>
          <w:szCs w:val="20"/>
        </w:rPr>
        <w:t>b) os limites máximos do risco de mercado;</w:t>
      </w:r>
    </w:p>
    <w:p w14:paraId="4D4B815F" w14:textId="77777777" w:rsidR="00BA3275" w:rsidRDefault="00000000">
      <w:pPr>
        <w:pStyle w:val="NormalWeb"/>
        <w:jc w:val="both"/>
      </w:pPr>
      <w:r>
        <w:rPr>
          <w:rFonts w:ascii="Arial" w:hAnsi="Arial" w:cs="Arial"/>
          <w:sz w:val="20"/>
          <w:szCs w:val="20"/>
        </w:rPr>
        <w:t>c) o valor de marcação a mercado dos ativos e passivos da carteira de negociação, segregados por fatores de risco;</w:t>
      </w:r>
    </w:p>
    <w:p w14:paraId="64AEE7BC" w14:textId="77777777" w:rsidR="00BA3275" w:rsidRDefault="00000000">
      <w:pPr>
        <w:pStyle w:val="NormalWeb"/>
        <w:jc w:val="both"/>
      </w:pPr>
      <w:r>
        <w:rPr>
          <w:rFonts w:ascii="Arial" w:hAnsi="Arial" w:cs="Arial"/>
          <w:sz w:val="20"/>
          <w:szCs w:val="20"/>
        </w:rPr>
        <w:t>d) o valor do risco e consumo de limite da carteira bancária, nas abordagens de valor econômico e do resultado de intermediação financeira, de acordo com as exigências normativas aplicáveis a cada segmento S3 e S4;</w:t>
      </w:r>
    </w:p>
    <w:p w14:paraId="24FD096A" w14:textId="77777777" w:rsidR="00BA3275" w:rsidRDefault="00000000">
      <w:pPr>
        <w:pStyle w:val="NormalWeb"/>
        <w:jc w:val="both"/>
      </w:pPr>
      <w:r>
        <w:rPr>
          <w:rFonts w:ascii="Arial" w:hAnsi="Arial" w:cs="Arial"/>
          <w:sz w:val="20"/>
          <w:szCs w:val="20"/>
        </w:rPr>
        <w:lastRenderedPageBreak/>
        <w:t>e) os descasamentos entre os fluxos de ativos e passivos, segregados por prazos e fatores de riscos;</w:t>
      </w:r>
    </w:p>
    <w:p w14:paraId="1A5EF37D" w14:textId="77777777" w:rsidR="00BA3275" w:rsidRDefault="00000000">
      <w:pPr>
        <w:pStyle w:val="NormalWeb"/>
        <w:jc w:val="both"/>
      </w:pPr>
      <w:r>
        <w:rPr>
          <w:rFonts w:ascii="Arial" w:hAnsi="Arial" w:cs="Arial"/>
          <w:sz w:val="20"/>
          <w:szCs w:val="20"/>
        </w:rPr>
        <w:t>f) os limites máximos do risco de variação das taxas de juros (IRRBB);</w:t>
      </w:r>
    </w:p>
    <w:p w14:paraId="47AFBCEE" w14:textId="77777777" w:rsidR="00BA3275" w:rsidRDefault="00000000">
      <w:pPr>
        <w:pStyle w:val="NormalWeb"/>
        <w:jc w:val="both"/>
      </w:pPr>
      <w:r>
        <w:rPr>
          <w:rFonts w:ascii="Arial" w:hAnsi="Arial" w:cs="Arial"/>
          <w:sz w:val="20"/>
          <w:szCs w:val="20"/>
        </w:rPr>
        <w:t xml:space="preserve">g) a sensibilidade para avaliar o impacto no valor de mercado dos fluxos de caixa da carteira, quando submetidos ao aumento paralelo de 1 (um) </w:t>
      </w:r>
      <w:proofErr w:type="spellStart"/>
      <w:r>
        <w:rPr>
          <w:rFonts w:ascii="Arial" w:hAnsi="Arial" w:cs="Arial"/>
          <w:sz w:val="20"/>
          <w:szCs w:val="20"/>
        </w:rPr>
        <w:t>ponto</w:t>
      </w:r>
      <w:proofErr w:type="spellEnd"/>
      <w:r>
        <w:rPr>
          <w:rFonts w:ascii="Arial" w:hAnsi="Arial" w:cs="Arial"/>
          <w:sz w:val="20"/>
          <w:szCs w:val="20"/>
        </w:rPr>
        <w:t>-base na curva de juros;</w:t>
      </w:r>
    </w:p>
    <w:p w14:paraId="3BEFCAFB" w14:textId="77777777" w:rsidR="00BA3275" w:rsidRDefault="00000000">
      <w:pPr>
        <w:pStyle w:val="NormalWeb"/>
        <w:jc w:val="both"/>
      </w:pPr>
      <w:r>
        <w:rPr>
          <w:rFonts w:ascii="Arial" w:hAnsi="Arial" w:cs="Arial"/>
          <w:sz w:val="20"/>
          <w:szCs w:val="20"/>
        </w:rPr>
        <w:t>h) o valor presente das posições, descontadas pela expectativa de taxa de juros futuros da carteira de ativos e passivos;</w:t>
      </w:r>
    </w:p>
    <w:p w14:paraId="794AD4D3" w14:textId="77777777" w:rsidR="00BA3275" w:rsidRDefault="00000000">
      <w:pPr>
        <w:pStyle w:val="NormalWeb"/>
        <w:jc w:val="both"/>
      </w:pPr>
      <w:r>
        <w:rPr>
          <w:rFonts w:ascii="Arial" w:hAnsi="Arial" w:cs="Arial"/>
          <w:sz w:val="20"/>
          <w:szCs w:val="20"/>
        </w:rPr>
        <w:t>i) o resultado das perdas e dos ganhos embutidos (EGL);</w:t>
      </w:r>
    </w:p>
    <w:p w14:paraId="46D39418" w14:textId="77777777" w:rsidR="00BA3275" w:rsidRDefault="00000000">
      <w:pPr>
        <w:pStyle w:val="NormalWeb"/>
        <w:jc w:val="both"/>
      </w:pPr>
      <w:r>
        <w:rPr>
          <w:rFonts w:ascii="Arial" w:hAnsi="Arial" w:cs="Arial"/>
          <w:sz w:val="20"/>
          <w:szCs w:val="20"/>
        </w:rPr>
        <w:t>j) resultado dos testes de estresse.</w:t>
      </w:r>
    </w:p>
    <w:p w14:paraId="3DE536DC" w14:textId="77777777" w:rsidR="00BA3275" w:rsidRDefault="00000000">
      <w:pPr>
        <w:pStyle w:val="NormalWeb"/>
      </w:pPr>
      <w:r>
        <w:rPr>
          <w:rFonts w:ascii="Arial" w:hAnsi="Arial" w:cs="Arial"/>
          <w:b/>
          <w:bCs/>
          <w:sz w:val="20"/>
          <w:szCs w:val="20"/>
        </w:rPr>
        <w:t>34.4 Risco de Liquidez</w:t>
      </w:r>
    </w:p>
    <w:p w14:paraId="1D765D1B" w14:textId="77777777" w:rsidR="00BA3275" w:rsidRDefault="00000000">
      <w:pPr>
        <w:pStyle w:val="NormalWeb"/>
        <w:jc w:val="both"/>
      </w:pPr>
      <w:r>
        <w:rPr>
          <w:rFonts w:ascii="Arial" w:hAnsi="Arial" w:cs="Arial"/>
          <w:sz w:val="20"/>
          <w:szCs w:val="20"/>
        </w:rPr>
        <w:t>As diretrizes para o gerenciamento do risco de liquidez estão definidas na Política Institucional de Gerenciamento da Centralização Financeira, na Política Institucional de Gerenciamento do Risco de Liquidez e no Manual de Gerenciamento do Risco de Liquidez, aprovados pela Diretoria e pelo Conselho de Administração do CCS, que prevê procedimentos, métricas e ações padronizadas para todas as entidades do Sicoob.</w:t>
      </w:r>
    </w:p>
    <w:p w14:paraId="60DE9DB6" w14:textId="77777777" w:rsidR="00BA3275" w:rsidRDefault="00000000">
      <w:pPr>
        <w:pStyle w:val="NormalWeb"/>
        <w:jc w:val="both"/>
      </w:pPr>
      <w:r>
        <w:rPr>
          <w:rFonts w:ascii="Arial" w:hAnsi="Arial" w:cs="Arial"/>
          <w:sz w:val="20"/>
          <w:szCs w:val="20"/>
        </w:rPr>
        <w:t>A estrutura de gerenciamento do risco de liquidez é compatível com a natureza das operações, com a complexidade dos produtos e serviços oferecidos, e proporcional à dimensão da exposição aos riscos das entidades do Sicoob.</w:t>
      </w:r>
    </w:p>
    <w:p w14:paraId="57554534" w14:textId="77777777" w:rsidR="00BA3275" w:rsidRDefault="00000000">
      <w:pPr>
        <w:pStyle w:val="NormalWeb"/>
        <w:jc w:val="both"/>
      </w:pPr>
      <w:r>
        <w:rPr>
          <w:rFonts w:ascii="Arial" w:hAnsi="Arial" w:cs="Arial"/>
          <w:sz w:val="20"/>
          <w:szCs w:val="20"/>
        </w:rPr>
        <w:t>O Sicoob dispõe de área especializada para o gerenciamento do risco liquidez, com o objetivo de assegurar que o risco das Cooperativas seja administrado de acordo com os níveis definidos na Declaração de Apetite por Riscos (RAS) e com as diretrizes previstas nas políticas e nos manuais institucionais.</w:t>
      </w:r>
    </w:p>
    <w:p w14:paraId="7D4CBFEB" w14:textId="77777777" w:rsidR="00BA3275" w:rsidRDefault="00000000">
      <w:pPr>
        <w:pStyle w:val="NormalWeb"/>
        <w:jc w:val="both"/>
      </w:pPr>
      <w:r>
        <w:rPr>
          <w:rFonts w:ascii="Arial" w:hAnsi="Arial" w:cs="Arial"/>
          <w:sz w:val="20"/>
          <w:szCs w:val="20"/>
        </w:rPr>
        <w:t>O gerenciamento do risco de liquidez das Cooperativas do Sicoob atende aos aspectos e padrões previstos nos normativos emitidos pelos órgãos reguladores, aprimorados e alinhados permanentemente com as boas práticas de gestão.</w:t>
      </w:r>
    </w:p>
    <w:p w14:paraId="046B8705" w14:textId="77777777" w:rsidR="00BA3275" w:rsidRDefault="00000000">
      <w:pPr>
        <w:pStyle w:val="NormalWeb"/>
        <w:jc w:val="both"/>
      </w:pPr>
      <w:r>
        <w:rPr>
          <w:rFonts w:ascii="Arial" w:hAnsi="Arial" w:cs="Arial"/>
          <w:sz w:val="20"/>
          <w:szCs w:val="20"/>
        </w:rPr>
        <w:t>O risco de liquidez é definido como a possibilidade de a entidade não ser capaz de honrar eficientemente suas obrigações esperadas e inesperadas, correntes e futuras, incluindo as decorrentes de vinculação de garantias, sem afetar suas operações diárias e sem incorrer em perdas significativas, e/ou a possibilidade da entidade não conseguir negociar a preço de mercado uma posição, devido ao seu valor elevado em relação ao volume normalmente transacionado, ou em razão de alguma descontinuidade no mercado.</w:t>
      </w:r>
    </w:p>
    <w:p w14:paraId="2C278CFB" w14:textId="77777777" w:rsidR="00BA3275" w:rsidRDefault="00000000">
      <w:pPr>
        <w:pStyle w:val="NormalWeb"/>
        <w:jc w:val="both"/>
      </w:pPr>
      <w:r>
        <w:rPr>
          <w:rFonts w:ascii="Arial" w:hAnsi="Arial" w:cs="Arial"/>
          <w:sz w:val="20"/>
          <w:szCs w:val="20"/>
        </w:rPr>
        <w:t>Os instrumentos de gerenciamento do risco de liquidez utilizados são:</w:t>
      </w:r>
    </w:p>
    <w:p w14:paraId="04583B93" w14:textId="77777777" w:rsidR="00BA3275" w:rsidRDefault="00000000">
      <w:pPr>
        <w:pStyle w:val="NormalWeb"/>
        <w:jc w:val="both"/>
      </w:pPr>
      <w:r>
        <w:rPr>
          <w:rFonts w:ascii="Arial" w:hAnsi="Arial" w:cs="Arial"/>
          <w:sz w:val="20"/>
          <w:szCs w:val="20"/>
        </w:rPr>
        <w:t>a) acompanhamento do risco de liquidez das Cooperativas, realizado por meio da análise e avaliação do conjunto de relatórios, remetidos a órgãos de governança, comitês e alta administração, que evidenciem, no mínimo:</w:t>
      </w:r>
    </w:p>
    <w:p w14:paraId="47F22755" w14:textId="77777777" w:rsidR="00BA3275" w:rsidRDefault="00000000">
      <w:pPr>
        <w:pStyle w:val="NormalWeb"/>
        <w:jc w:val="both"/>
      </w:pPr>
      <w:r>
        <w:rPr>
          <w:rFonts w:ascii="Arial" w:hAnsi="Arial" w:cs="Arial"/>
          <w:sz w:val="20"/>
          <w:szCs w:val="20"/>
        </w:rPr>
        <w:t>a.1) limite mínimo de liquidez;</w:t>
      </w:r>
    </w:p>
    <w:p w14:paraId="2FDBB2CF" w14:textId="77777777" w:rsidR="00BA3275" w:rsidRDefault="00000000">
      <w:pPr>
        <w:pStyle w:val="NormalWeb"/>
        <w:jc w:val="both"/>
      </w:pPr>
      <w:r>
        <w:rPr>
          <w:rFonts w:ascii="Arial" w:hAnsi="Arial" w:cs="Arial"/>
          <w:sz w:val="20"/>
          <w:szCs w:val="20"/>
        </w:rPr>
        <w:t>a.2) fluxo de caixa projetado;</w:t>
      </w:r>
    </w:p>
    <w:p w14:paraId="1A677B41" w14:textId="77777777" w:rsidR="00BA3275" w:rsidRDefault="00000000">
      <w:pPr>
        <w:pStyle w:val="NormalWeb"/>
        <w:jc w:val="both"/>
      </w:pPr>
      <w:r>
        <w:rPr>
          <w:rFonts w:ascii="Arial" w:hAnsi="Arial" w:cs="Arial"/>
          <w:sz w:val="20"/>
          <w:szCs w:val="20"/>
        </w:rPr>
        <w:t>a.3) aplicação de cenários de estresse;</w:t>
      </w:r>
    </w:p>
    <w:p w14:paraId="0EF02E1B" w14:textId="77777777" w:rsidR="00BA3275" w:rsidRDefault="00000000">
      <w:pPr>
        <w:pStyle w:val="NormalWeb"/>
        <w:jc w:val="both"/>
      </w:pPr>
      <w:r>
        <w:rPr>
          <w:rFonts w:ascii="Arial" w:hAnsi="Arial" w:cs="Arial"/>
          <w:sz w:val="20"/>
          <w:szCs w:val="20"/>
        </w:rPr>
        <w:t>a.4) definição de planos de contingência.</w:t>
      </w:r>
    </w:p>
    <w:p w14:paraId="2F256BD8" w14:textId="77777777" w:rsidR="00BA3275" w:rsidRDefault="00000000">
      <w:pPr>
        <w:pStyle w:val="NormalWeb"/>
        <w:jc w:val="both"/>
      </w:pPr>
      <w:r>
        <w:rPr>
          <w:rFonts w:ascii="Arial" w:hAnsi="Arial" w:cs="Arial"/>
          <w:sz w:val="20"/>
          <w:szCs w:val="20"/>
        </w:rPr>
        <w:t>b) relatórios que permitam a identificação e correção tempestiva das deficiências de controle e de gerenciamento do risco de liquidez;</w:t>
      </w:r>
    </w:p>
    <w:p w14:paraId="49A7137C" w14:textId="77777777" w:rsidR="00BA3275" w:rsidRDefault="00000000">
      <w:pPr>
        <w:pStyle w:val="NormalWeb"/>
        <w:jc w:val="both"/>
      </w:pPr>
      <w:r>
        <w:rPr>
          <w:rFonts w:ascii="Arial" w:hAnsi="Arial" w:cs="Arial"/>
          <w:sz w:val="20"/>
          <w:szCs w:val="20"/>
        </w:rPr>
        <w:lastRenderedPageBreak/>
        <w:t>c) plano de contingência contendo as estratégias a serem adotadas para assegurar condições de continuidade das atividades e para limitar perdas decorrentes do risco de liquidez.</w:t>
      </w:r>
    </w:p>
    <w:p w14:paraId="29A369F8" w14:textId="77777777" w:rsidR="00BA3275" w:rsidRDefault="00000000">
      <w:pPr>
        <w:pStyle w:val="NormalWeb"/>
        <w:jc w:val="both"/>
      </w:pPr>
      <w:r>
        <w:rPr>
          <w:rFonts w:ascii="Arial" w:hAnsi="Arial" w:cs="Arial"/>
          <w:sz w:val="20"/>
          <w:szCs w:val="20"/>
        </w:rPr>
        <w:t>Os resultados dos testes de estresse aplicando os cenários de estresse, tem por objetivo identificar eventuais deficiências e situações atípicas que possam comprometer a liquidez das cooperativas do Sicoob.</w:t>
      </w:r>
    </w:p>
    <w:p w14:paraId="7D251479" w14:textId="77777777" w:rsidR="00BA3275" w:rsidRDefault="00000000">
      <w:pPr>
        <w:pStyle w:val="NormalWeb"/>
      </w:pPr>
      <w:r>
        <w:rPr>
          <w:rFonts w:ascii="Arial" w:hAnsi="Arial" w:cs="Arial"/>
          <w:b/>
          <w:bCs/>
          <w:sz w:val="20"/>
          <w:szCs w:val="20"/>
        </w:rPr>
        <w:t>34.5 Riscos Social, Ambiental e Climático</w:t>
      </w:r>
    </w:p>
    <w:p w14:paraId="128F6DCE" w14:textId="77777777" w:rsidR="00BA3275" w:rsidRDefault="00000000">
      <w:pPr>
        <w:pStyle w:val="NormalWeb"/>
        <w:jc w:val="both"/>
      </w:pPr>
      <w:r>
        <w:rPr>
          <w:rFonts w:ascii="Arial" w:hAnsi="Arial" w:cs="Arial"/>
          <w:sz w:val="20"/>
          <w:szCs w:val="20"/>
        </w:rPr>
        <w:t>As diretrizes para o gerenciamento dos riscos social, ambiental e climático é realizado com o objetivo de conhecer e mitigar riscos significativos que possam impactar as partes interessadas, além de produtos e serviços do Sicoob.</w:t>
      </w:r>
    </w:p>
    <w:p w14:paraId="23743774" w14:textId="77777777" w:rsidR="00BA3275" w:rsidRDefault="00000000">
      <w:pPr>
        <w:pStyle w:val="NormalWeb"/>
        <w:jc w:val="both"/>
      </w:pPr>
      <w:r>
        <w:rPr>
          <w:rFonts w:ascii="Arial" w:hAnsi="Arial" w:cs="Arial"/>
          <w:sz w:val="20"/>
          <w:szCs w:val="20"/>
        </w:rPr>
        <w:t>O Sicoob adota a Política Institucional de Responsabilidade Social, Ambiental e Climática (PRSAC) na classificação da exposição das operações de crédito aos riscos sociais, ambientais e climáticos. A partir das orientações estabelecidas, é possível nortear os princípios e diretrizes visando contribuir para a concretização adequada à relevância da exposição aos riscos.</w:t>
      </w:r>
    </w:p>
    <w:p w14:paraId="3C8018C9" w14:textId="77777777" w:rsidR="00BA3275" w:rsidRDefault="00000000">
      <w:pPr>
        <w:pStyle w:val="NormalWeb"/>
        <w:jc w:val="both"/>
      </w:pPr>
      <w:r>
        <w:rPr>
          <w:rFonts w:ascii="Arial" w:hAnsi="Arial" w:cs="Arial"/>
          <w:b/>
          <w:bCs/>
          <w:sz w:val="20"/>
          <w:szCs w:val="20"/>
        </w:rPr>
        <w:t xml:space="preserve">Risco Social: </w:t>
      </w:r>
      <w:r>
        <w:rPr>
          <w:rFonts w:ascii="Arial" w:hAnsi="Arial" w:cs="Arial"/>
          <w:sz w:val="20"/>
          <w:szCs w:val="20"/>
        </w:rPr>
        <w:t>o processo de gerenciamento do risco social visa garantir o respeito à diversidade e à proteção de direitos nas relações de negócios e para todas as pessoas, avaliam impactos negativos e perdas que possam afetar a imagem do Sicoob.</w:t>
      </w:r>
    </w:p>
    <w:p w14:paraId="1943A0FA" w14:textId="77777777" w:rsidR="00BA3275" w:rsidRDefault="00000000">
      <w:pPr>
        <w:pStyle w:val="NormalWeb"/>
        <w:jc w:val="both"/>
      </w:pPr>
      <w:r>
        <w:rPr>
          <w:rFonts w:ascii="Arial" w:hAnsi="Arial" w:cs="Arial"/>
          <w:b/>
          <w:bCs/>
          <w:sz w:val="20"/>
          <w:szCs w:val="20"/>
        </w:rPr>
        <w:t>Risco Ambiental:</w:t>
      </w:r>
      <w:r>
        <w:rPr>
          <w:rFonts w:ascii="Arial" w:hAnsi="Arial" w:cs="Arial"/>
          <w:sz w:val="20"/>
          <w:szCs w:val="20"/>
        </w:rPr>
        <w:t xml:space="preserve"> o processo de gerenciamento do risco ambiental consiste na realização de avaliações sistêmicas por meio da obtenção de informações ambientais, disponibilizadas por órgão competentes, observando potenciais impactos.</w:t>
      </w:r>
    </w:p>
    <w:p w14:paraId="52835503" w14:textId="77777777" w:rsidR="00BA3275" w:rsidRDefault="00000000">
      <w:pPr>
        <w:pStyle w:val="NormalWeb"/>
        <w:jc w:val="both"/>
      </w:pPr>
      <w:r>
        <w:rPr>
          <w:rFonts w:ascii="Arial" w:hAnsi="Arial" w:cs="Arial"/>
          <w:b/>
          <w:bCs/>
          <w:sz w:val="20"/>
          <w:szCs w:val="20"/>
        </w:rPr>
        <w:t>Risco Climático:</w:t>
      </w:r>
      <w:r>
        <w:rPr>
          <w:rFonts w:ascii="Arial" w:hAnsi="Arial" w:cs="Arial"/>
          <w:sz w:val="20"/>
          <w:szCs w:val="20"/>
        </w:rPr>
        <w:t xml:space="preserve"> o processo de gerenciamento do risco climático consiste na realização de avaliações sistêmicas considerando a probabilidade da ocorrência de eventos que possam ocasionar danos de origem climática, na observância dos riscos de transição e físico.</w:t>
      </w:r>
    </w:p>
    <w:p w14:paraId="136124CA" w14:textId="77777777" w:rsidR="00BA3275" w:rsidRDefault="00000000">
      <w:pPr>
        <w:pStyle w:val="NormalWeb"/>
        <w:jc w:val="both"/>
      </w:pPr>
      <w:r>
        <w:rPr>
          <w:rFonts w:ascii="Arial" w:hAnsi="Arial" w:cs="Arial"/>
          <w:sz w:val="20"/>
          <w:szCs w:val="20"/>
        </w:rPr>
        <w:t>Os riscos social, ambiental e climático são observados nas linhas de negócios do Sicoob, seguindo os critérios de elegibilidade abaixo e avaliação desenvolvidos e divulgados nos manuais internos, em conformidade com as normas e regulamentações vigentes:</w:t>
      </w:r>
    </w:p>
    <w:p w14:paraId="10CD24EA" w14:textId="77777777" w:rsidR="00BA3275" w:rsidRDefault="00000000">
      <w:pPr>
        <w:pStyle w:val="NormalWeb"/>
        <w:jc w:val="both"/>
      </w:pPr>
      <w:r>
        <w:rPr>
          <w:rFonts w:ascii="Arial" w:hAnsi="Arial" w:cs="Arial"/>
          <w:sz w:val="20"/>
          <w:szCs w:val="20"/>
        </w:rPr>
        <w:t>a) setores de atuação de maior exposição aos riscos social, ambiental e climático;</w:t>
      </w:r>
    </w:p>
    <w:p w14:paraId="290DDC15" w14:textId="77777777" w:rsidR="00BA3275" w:rsidRDefault="00000000">
      <w:pPr>
        <w:pStyle w:val="NormalWeb"/>
        <w:jc w:val="both"/>
      </w:pPr>
      <w:r>
        <w:rPr>
          <w:rFonts w:ascii="Arial" w:hAnsi="Arial" w:cs="Arial"/>
          <w:sz w:val="20"/>
          <w:szCs w:val="20"/>
        </w:rPr>
        <w:t>b) linhas de empréstimos e financiamentos de maior exposição aos riscos social, ambiental e climático;</w:t>
      </w:r>
    </w:p>
    <w:p w14:paraId="13C0D884" w14:textId="77777777" w:rsidR="00BA3275" w:rsidRDefault="00000000">
      <w:pPr>
        <w:pStyle w:val="NormalWeb"/>
        <w:jc w:val="both"/>
      </w:pPr>
      <w:r>
        <w:rPr>
          <w:rFonts w:ascii="Arial" w:hAnsi="Arial" w:cs="Arial"/>
          <w:sz w:val="20"/>
          <w:szCs w:val="20"/>
        </w:rPr>
        <w:t>c) valor de saldo devedor em operações de crédito de maior exposição aos riscos social, ambiental e climático.</w:t>
      </w:r>
    </w:p>
    <w:p w14:paraId="683EECFC" w14:textId="77777777" w:rsidR="00BA3275" w:rsidRDefault="00000000">
      <w:pPr>
        <w:pStyle w:val="NormalWeb"/>
        <w:jc w:val="both"/>
      </w:pPr>
      <w:r>
        <w:rPr>
          <w:rFonts w:ascii="Arial" w:hAnsi="Arial" w:cs="Arial"/>
          <w:sz w:val="20"/>
          <w:szCs w:val="20"/>
        </w:rPr>
        <w:t>As propostas de contrapartes autuadas por crime ambiental são analisadas por alçada específica.</w:t>
      </w:r>
    </w:p>
    <w:p w14:paraId="51165FC1" w14:textId="77777777" w:rsidR="00BA3275" w:rsidRDefault="00000000">
      <w:pPr>
        <w:pStyle w:val="NormalWeb"/>
        <w:jc w:val="both"/>
      </w:pPr>
      <w:r>
        <w:rPr>
          <w:rFonts w:ascii="Arial" w:hAnsi="Arial" w:cs="Arial"/>
          <w:sz w:val="20"/>
          <w:szCs w:val="20"/>
        </w:rPr>
        <w:t>O Sicoob não realiza operações com contrapartes que constem no cadastro de empregadores que tenham submetido trabalhadores a condições análogas às de escravo ou infantil.</w:t>
      </w:r>
    </w:p>
    <w:p w14:paraId="626451A4" w14:textId="77777777" w:rsidR="00BA3275" w:rsidRDefault="00000000">
      <w:pPr>
        <w:pStyle w:val="NormalWeb"/>
        <w:jc w:val="both"/>
      </w:pPr>
      <w:r>
        <w:rPr>
          <w:rFonts w:ascii="Arial" w:hAnsi="Arial" w:cs="Arial"/>
          <w:sz w:val="20"/>
          <w:szCs w:val="20"/>
        </w:rPr>
        <w:t>De modo a observar a propensão ao risco das atividades econômicas das contrapartes, foi elaborada a Lista de Setores Sensíveis e a Lista de Exclusão, considerando os impactos causados ao meio ambiente e na sociedade como um todo, acidentes de trabalho, exposições em mídia, fontes de receita, sensibilidade da legislação aplicável no exercício das atividades, práticas de mercado, apetite a risco institucional e risco de imagem.</w:t>
      </w:r>
    </w:p>
    <w:p w14:paraId="3D9CFB50" w14:textId="77777777" w:rsidR="00BA3275" w:rsidRDefault="00000000">
      <w:pPr>
        <w:pStyle w:val="NormalWeb"/>
        <w:jc w:val="both"/>
      </w:pPr>
      <w:r>
        <w:rPr>
          <w:rFonts w:ascii="Arial" w:hAnsi="Arial" w:cs="Arial"/>
          <w:sz w:val="20"/>
          <w:szCs w:val="20"/>
        </w:rPr>
        <w:t>O limite de concentração da exposição em setores sensíveis é de 15% (quinze por cento), considerando o saldo devedor dos setores, de forma consolidada, sobre a carteira total da cooperativa.</w:t>
      </w:r>
    </w:p>
    <w:p w14:paraId="4A61F3C5" w14:textId="77777777" w:rsidR="00BA3275" w:rsidRDefault="00000000">
      <w:pPr>
        <w:pStyle w:val="NormalWeb"/>
      </w:pPr>
      <w:r>
        <w:rPr>
          <w:rFonts w:ascii="Arial" w:hAnsi="Arial" w:cs="Arial"/>
          <w:b/>
          <w:bCs/>
          <w:sz w:val="20"/>
          <w:szCs w:val="20"/>
        </w:rPr>
        <w:t>34.6 Gerenciamento de Capital</w:t>
      </w:r>
    </w:p>
    <w:p w14:paraId="2AD19FE3" w14:textId="77777777" w:rsidR="00BA3275" w:rsidRDefault="00000000">
      <w:pPr>
        <w:pStyle w:val="NormalWeb"/>
        <w:jc w:val="both"/>
      </w:pPr>
      <w:r>
        <w:rPr>
          <w:rFonts w:ascii="Arial" w:hAnsi="Arial" w:cs="Arial"/>
          <w:sz w:val="20"/>
          <w:szCs w:val="20"/>
        </w:rPr>
        <w:t>O gerenciamento de capital com finalidade avaliar e acompanhar os índices mínimos de capital regulamentar e gerencial, com intuito de manter a necessidade de capital adequada aos objetivos estratégicos das entidades do Sicoob.</w:t>
      </w:r>
    </w:p>
    <w:p w14:paraId="46EFA0B4" w14:textId="77777777" w:rsidR="00BA3275" w:rsidRDefault="00000000">
      <w:pPr>
        <w:pStyle w:val="NormalWeb"/>
        <w:jc w:val="both"/>
      </w:pPr>
      <w:r>
        <w:rPr>
          <w:rFonts w:ascii="Arial" w:hAnsi="Arial" w:cs="Arial"/>
          <w:sz w:val="20"/>
          <w:szCs w:val="20"/>
        </w:rPr>
        <w:lastRenderedPageBreak/>
        <w:t>As diretrizes para o monitoramento e controle contínuo do capital estão contidas na Política Institucional de Gerenciamento de Capital do Sicoob.</w:t>
      </w:r>
    </w:p>
    <w:p w14:paraId="71F5000A" w14:textId="77777777" w:rsidR="00BA3275" w:rsidRDefault="00000000">
      <w:pPr>
        <w:pStyle w:val="NormalWeb"/>
        <w:jc w:val="both"/>
      </w:pPr>
      <w:r>
        <w:rPr>
          <w:rFonts w:ascii="Arial" w:hAnsi="Arial" w:cs="Arial"/>
          <w:sz w:val="20"/>
          <w:szCs w:val="20"/>
        </w:rPr>
        <w:t>O processo do gerenciamento de capital é composto por um conjunto de metodologias que permitem às instituições identificarem, avaliar e controlar as exposições relevantes, de forma a manter o capital compatível com os riscos incorridos. Dispõe, ainda, de um plano de capital específico, prevendo metas e projeções de capital alinhado aos objetivos estratégicos, principais fontes de capital e plano de contingência.</w:t>
      </w:r>
    </w:p>
    <w:p w14:paraId="5F0F79FD" w14:textId="77777777" w:rsidR="00BA3275" w:rsidRDefault="00000000">
      <w:pPr>
        <w:pStyle w:val="NormalWeb"/>
        <w:jc w:val="both"/>
      </w:pPr>
      <w:r>
        <w:rPr>
          <w:rFonts w:ascii="Arial" w:hAnsi="Arial" w:cs="Arial"/>
          <w:sz w:val="20"/>
          <w:szCs w:val="20"/>
        </w:rPr>
        <w:t>Adicionalmente, são realizadas simulações de eventos severos e condições extremas de mercado, cujos resultados e impactos na estrutura de capital são apresentados à Diretoria e ao Conselho de Administração das instituições.</w:t>
      </w:r>
    </w:p>
    <w:p w14:paraId="6FC7D093" w14:textId="77777777" w:rsidR="00BA3275" w:rsidRDefault="00000000">
      <w:pPr>
        <w:pStyle w:val="NormalWeb"/>
      </w:pPr>
      <w:r>
        <w:rPr>
          <w:rFonts w:ascii="Arial" w:hAnsi="Arial" w:cs="Arial"/>
          <w:b/>
          <w:bCs/>
          <w:sz w:val="20"/>
          <w:szCs w:val="20"/>
        </w:rPr>
        <w:t>34.7 Gestão de Continuidade de Negócios</w:t>
      </w:r>
    </w:p>
    <w:p w14:paraId="5F99864B" w14:textId="77777777" w:rsidR="00BA3275" w:rsidRDefault="00000000">
      <w:pPr>
        <w:pStyle w:val="NormalWeb"/>
        <w:jc w:val="both"/>
      </w:pPr>
      <w:r>
        <w:rPr>
          <w:rFonts w:ascii="Arial" w:hAnsi="Arial" w:cs="Arial"/>
          <w:sz w:val="20"/>
          <w:szCs w:val="20"/>
        </w:rPr>
        <w:t>As diretrizes para a gestão de continuidade de negócios encontram-se registradas na Política Institucional de Gestão de Continuidade de Negócios, aprovada pela Diretoria e pelo Conselho de Administração do CCS, que prevê procedimentos, métricas e ações padronizadas para todas as entidades do Sicoob.</w:t>
      </w:r>
    </w:p>
    <w:p w14:paraId="1FC1E4DB" w14:textId="77777777" w:rsidR="00BA3275" w:rsidRDefault="00000000">
      <w:pPr>
        <w:pStyle w:val="NormalWeb"/>
        <w:jc w:val="both"/>
      </w:pPr>
      <w:r>
        <w:rPr>
          <w:rFonts w:ascii="Arial" w:hAnsi="Arial" w:cs="Arial"/>
          <w:sz w:val="20"/>
          <w:szCs w:val="20"/>
        </w:rPr>
        <w:t>O processo de gestão de continuidade de negócios se desenvolve com base nas seguintes atividades:</w:t>
      </w:r>
    </w:p>
    <w:p w14:paraId="6C7577D4" w14:textId="77777777" w:rsidR="00BA3275" w:rsidRDefault="00000000">
      <w:pPr>
        <w:pStyle w:val="NormalWeb"/>
        <w:jc w:val="both"/>
      </w:pPr>
      <w:r>
        <w:rPr>
          <w:rFonts w:ascii="Arial" w:hAnsi="Arial" w:cs="Arial"/>
          <w:sz w:val="20"/>
          <w:szCs w:val="20"/>
        </w:rPr>
        <w:t>a) identificação da possibilidade de paralisação das atividades;</w:t>
      </w:r>
    </w:p>
    <w:p w14:paraId="7182EAC9" w14:textId="77777777" w:rsidR="00BA3275" w:rsidRDefault="00000000">
      <w:pPr>
        <w:pStyle w:val="NormalWeb"/>
        <w:jc w:val="both"/>
      </w:pPr>
      <w:r>
        <w:rPr>
          <w:rFonts w:ascii="Arial" w:hAnsi="Arial" w:cs="Arial"/>
          <w:sz w:val="20"/>
          <w:szCs w:val="20"/>
        </w:rPr>
        <w:t>b) avaliação dos impactos potenciais (resultados e consequências) que possam atingir a entidade, provenientes da paralisação das atividades;</w:t>
      </w:r>
    </w:p>
    <w:p w14:paraId="46761B14" w14:textId="77777777" w:rsidR="00BA3275" w:rsidRDefault="00000000">
      <w:pPr>
        <w:pStyle w:val="NormalWeb"/>
        <w:jc w:val="both"/>
      </w:pPr>
      <w:r>
        <w:rPr>
          <w:rFonts w:ascii="Arial" w:hAnsi="Arial" w:cs="Arial"/>
          <w:sz w:val="20"/>
          <w:szCs w:val="20"/>
        </w:rPr>
        <w:t>c) definição de estratégia de recuperação para a possibilidade da ocorrência de incidentes;</w:t>
      </w:r>
    </w:p>
    <w:p w14:paraId="3BF9A40F" w14:textId="77777777" w:rsidR="00BA3275" w:rsidRDefault="00000000">
      <w:pPr>
        <w:pStyle w:val="NormalWeb"/>
        <w:jc w:val="both"/>
      </w:pPr>
      <w:r>
        <w:rPr>
          <w:rFonts w:ascii="Arial" w:hAnsi="Arial" w:cs="Arial"/>
          <w:sz w:val="20"/>
          <w:szCs w:val="20"/>
        </w:rPr>
        <w:t>d) continuidade planejada das operações (ativos de TI, inclusive pessoas, instalações, sistemas e processos), considerando procedimentos para antes, durante e depois da interrupção;</w:t>
      </w:r>
    </w:p>
    <w:p w14:paraId="7317AC76" w14:textId="77777777" w:rsidR="00BA3275" w:rsidRDefault="00000000">
      <w:pPr>
        <w:pStyle w:val="NormalWeb"/>
        <w:jc w:val="both"/>
      </w:pPr>
      <w:r>
        <w:rPr>
          <w:rFonts w:ascii="Arial" w:hAnsi="Arial" w:cs="Arial"/>
          <w:sz w:val="20"/>
          <w:szCs w:val="20"/>
        </w:rPr>
        <w:t>e) transição entre a contingência e o retorno à normalidade (saída do incidente).</w:t>
      </w:r>
    </w:p>
    <w:p w14:paraId="6E4022FA" w14:textId="77777777" w:rsidR="00BA3275" w:rsidRDefault="00000000">
      <w:pPr>
        <w:pStyle w:val="NormalWeb"/>
        <w:jc w:val="both"/>
      </w:pPr>
      <w:r>
        <w:rPr>
          <w:rFonts w:ascii="Arial" w:hAnsi="Arial" w:cs="Arial"/>
          <w:sz w:val="20"/>
          <w:szCs w:val="20"/>
        </w:rPr>
        <w:t>O CCS realiza a Análise de Impacto (AIN) para identificar os processos críticos sistêmicos, com o objetivo de definir estratégias para a continuidade desses processos e, assim, resguardar o negócio de interrupções prolongadas que possam ameaçar sua continuidade. O resultado da AIN tem base nos impactos financeiro, legal e imagem.</w:t>
      </w:r>
    </w:p>
    <w:p w14:paraId="2D8AB141" w14:textId="77777777" w:rsidR="00BA3275" w:rsidRDefault="00000000">
      <w:pPr>
        <w:pStyle w:val="NormalWeb"/>
        <w:jc w:val="both"/>
      </w:pPr>
      <w:r>
        <w:rPr>
          <w:rFonts w:ascii="Arial" w:hAnsi="Arial" w:cs="Arial"/>
          <w:sz w:val="20"/>
          <w:szCs w:val="20"/>
        </w:rPr>
        <w:t>São elaborados, revisados e testados, os Planos de Continuidade de Negócios contendo os principais procedimentos a serem executados para manter as atividades em funcionamento em momentos de contingência. Os Planos de Continuidade de Negócios são classificados em Plano de Continuidade Operacional (PCO) e Plano de Recuperação de Desastre (PRD).</w:t>
      </w:r>
    </w:p>
    <w:p w14:paraId="3CBEDBC3" w14:textId="77777777" w:rsidR="00BA3275" w:rsidRDefault="00000000">
      <w:pPr>
        <w:pStyle w:val="NormalWeb"/>
        <w:jc w:val="both"/>
      </w:pPr>
      <w:r>
        <w:rPr>
          <w:rFonts w:ascii="Arial" w:hAnsi="Arial" w:cs="Arial"/>
          <w:sz w:val="20"/>
          <w:szCs w:val="20"/>
        </w:rPr>
        <w:t>Anualmente, são realizados testes nos Planos de Continuidade de Negócios para validar a sua efetividade.</w:t>
      </w:r>
    </w:p>
    <w:p w14:paraId="010196D2" w14:textId="77777777" w:rsidR="00BA3275" w:rsidRDefault="00000000">
      <w:pPr>
        <w:pStyle w:val="NormalWeb"/>
      </w:pPr>
      <w:r>
        <w:rPr>
          <w:rFonts w:ascii="Arial" w:hAnsi="Arial" w:cs="Arial"/>
          <w:b/>
          <w:bCs/>
          <w:sz w:val="20"/>
          <w:szCs w:val="20"/>
        </w:rPr>
        <w:t xml:space="preserve">34.8 Risco Cibernético </w:t>
      </w:r>
    </w:p>
    <w:p w14:paraId="350394A3" w14:textId="77777777" w:rsidR="00BA3275" w:rsidRDefault="00000000">
      <w:pPr>
        <w:pStyle w:val="NormalWeb"/>
        <w:jc w:val="both"/>
      </w:pPr>
      <w:r>
        <w:rPr>
          <w:rFonts w:ascii="Arial" w:hAnsi="Arial" w:cs="Arial"/>
          <w:sz w:val="20"/>
          <w:szCs w:val="20"/>
        </w:rPr>
        <w:t>O gerenciamento de Risco Cibernético compõe a Gestão Integrada de Riscos e abrange os riscos relacionados a segurança de sistemas, redes, infraestruturas, dados e usuários, assegurando uma abordagem abrangente para proteger as entidades do Sicoob contra ameaças no ambiente cibernético.</w:t>
      </w:r>
    </w:p>
    <w:p w14:paraId="6569FA58" w14:textId="77777777" w:rsidR="00BA3275" w:rsidRDefault="00000000">
      <w:pPr>
        <w:pStyle w:val="NormalWeb"/>
        <w:jc w:val="both"/>
      </w:pPr>
      <w:r>
        <w:rPr>
          <w:rFonts w:ascii="Arial" w:hAnsi="Arial" w:cs="Arial"/>
          <w:sz w:val="20"/>
          <w:szCs w:val="20"/>
        </w:rPr>
        <w:t>As diretrizes para o gerenciamento do risco cibernético estão definidas na Política Institucional de Risco Cibernético e no Manual de Risco Cibernético, aprovados pela Diretoria e pelo Conselho de Administração do CCS, que prevê procedimentos, métricas e procedimentos padronizados para as entidades do Sicoob.</w:t>
      </w:r>
    </w:p>
    <w:p w14:paraId="2DB5F21A" w14:textId="77777777" w:rsidR="00BA3275" w:rsidRDefault="00000000">
      <w:pPr>
        <w:pStyle w:val="NormalWeb"/>
        <w:jc w:val="both"/>
      </w:pPr>
      <w:r>
        <w:rPr>
          <w:rFonts w:ascii="Arial" w:hAnsi="Arial" w:cs="Arial"/>
          <w:sz w:val="20"/>
          <w:szCs w:val="20"/>
        </w:rPr>
        <w:t>A área de Risco Cibernético realiza monitoramentos essenciais, acompanha vulnerabilidades e incidentes cibernéticos, além de participar de fóruns específicos sobre o tema, contribuindo para o desenvolvimento de suas funções e para a proteção dos ativos digitais do Sicoob. Adicionalmente, são realizadas pesquisas periódicas da maturidade cibernética de todo o sistema Sicoob, o que possibilita a avaliação e a priorização de ações, medidas e controles para mitigação de riscos cibernéticos e de segurança da informação.</w:t>
      </w:r>
    </w:p>
    <w:p w14:paraId="38158F6F" w14:textId="77777777" w:rsidR="00BA3275" w:rsidRDefault="00000000">
      <w:pPr>
        <w:pStyle w:val="NormalWeb"/>
        <w:jc w:val="both"/>
      </w:pPr>
      <w:r>
        <w:rPr>
          <w:rFonts w:ascii="Arial" w:hAnsi="Arial" w:cs="Arial"/>
          <w:sz w:val="20"/>
          <w:szCs w:val="20"/>
        </w:rPr>
        <w:lastRenderedPageBreak/>
        <w:t>O ciclo de identificação, avaliação, tratamento e monitoramento do risco cibernético é realizado, no mínimo, bienalmente. Em casos excepcionais, a Diretoria Executiva do CCS poderá prorrogar ou antecipar o prazo do ciclo.</w:t>
      </w:r>
    </w:p>
    <w:p w14:paraId="2E2C73CF" w14:textId="77777777" w:rsidR="00BA3275" w:rsidRDefault="00000000">
      <w:pPr>
        <w:pStyle w:val="NormalWeb"/>
      </w:pPr>
      <w:r>
        <w:rPr>
          <w:rFonts w:ascii="Arial" w:hAnsi="Arial" w:cs="Arial"/>
          <w:b/>
          <w:bCs/>
          <w:sz w:val="20"/>
          <w:szCs w:val="20"/>
        </w:rPr>
        <w:t>35. Seguros Contratados – Não Auditado</w:t>
      </w:r>
    </w:p>
    <w:p w14:paraId="7A63A7E9" w14:textId="77777777" w:rsidR="00BA3275" w:rsidRDefault="00000000">
      <w:pPr>
        <w:pStyle w:val="NormalWeb"/>
        <w:jc w:val="both"/>
      </w:pPr>
      <w:r>
        <w:rPr>
          <w:rFonts w:ascii="Arial" w:hAnsi="Arial" w:cs="Arial"/>
          <w:sz w:val="20"/>
          <w:szCs w:val="20"/>
        </w:rPr>
        <w:t>A Cooperativa adota a política de contratar seguros de diversas modalidades, cuja cobertura é considerada suficiente pela Administração e pelos agentes seguradores para fazer face à ocorrência de sinistros. As premissas de riscos adotados, dada a sua natureza, não fazem parte do escopo de auditoria das demonstrações financeiras e, consequentemente, não foram examinadas pelos nossos auditores independentes.</w:t>
      </w:r>
    </w:p>
    <w:p w14:paraId="57FDA411" w14:textId="77777777" w:rsidR="00BA3275" w:rsidRDefault="00000000">
      <w:pPr>
        <w:pStyle w:val="NormalWeb"/>
        <w:jc w:val="right"/>
        <w:rPr>
          <w:rFonts w:ascii="Arial" w:hAnsi="Arial" w:cs="Arial"/>
          <w:b/>
          <w:bCs/>
          <w:sz w:val="20"/>
          <w:szCs w:val="20"/>
        </w:rPr>
      </w:pPr>
      <w:r>
        <w:rPr>
          <w:rFonts w:ascii="Arial" w:hAnsi="Arial" w:cs="Arial"/>
          <w:b/>
          <w:bCs/>
          <w:sz w:val="20"/>
          <w:szCs w:val="20"/>
        </w:rPr>
        <w:t xml:space="preserve">SÃO GOTARDO-MG </w:t>
      </w:r>
    </w:p>
    <w:p w14:paraId="046C53E6" w14:textId="77777777" w:rsidR="007C0A68" w:rsidRDefault="007C0A68">
      <w:pPr>
        <w:pStyle w:val="NormalWeb"/>
        <w:jc w:val="right"/>
      </w:pPr>
    </w:p>
    <w:p w14:paraId="4857EEF9" w14:textId="77777777" w:rsidR="007C0A68" w:rsidRPr="00C01518" w:rsidRDefault="007C0A68" w:rsidP="007C0A68">
      <w:pPr>
        <w:pStyle w:val="NormalWeb"/>
        <w:spacing w:before="0" w:beforeAutospacing="0" w:after="0" w:afterAutospacing="0"/>
        <w:jc w:val="center"/>
        <w:rPr>
          <w:rFonts w:ascii="Arial" w:hAnsi="Arial" w:cs="Arial"/>
          <w:b/>
          <w:bCs/>
          <w:sz w:val="18"/>
          <w:szCs w:val="18"/>
        </w:rPr>
      </w:pPr>
      <w:r w:rsidRPr="00C01518">
        <w:rPr>
          <w:rFonts w:ascii="Arial" w:hAnsi="Arial" w:cs="Arial"/>
          <w:b/>
          <w:bCs/>
          <w:sz w:val="18"/>
          <w:szCs w:val="18"/>
        </w:rPr>
        <w:t>JOÃO EDER SALES</w:t>
      </w:r>
    </w:p>
    <w:p w14:paraId="707797C0" w14:textId="77777777" w:rsidR="007C0A68" w:rsidRPr="00C01518" w:rsidRDefault="007C0A68" w:rsidP="007C0A68">
      <w:pPr>
        <w:pStyle w:val="NormalWeb"/>
        <w:spacing w:before="0" w:beforeAutospacing="0" w:after="0" w:afterAutospacing="0"/>
        <w:jc w:val="center"/>
        <w:rPr>
          <w:rFonts w:ascii="Arial" w:hAnsi="Arial" w:cs="Arial"/>
          <w:b/>
          <w:bCs/>
          <w:sz w:val="18"/>
          <w:szCs w:val="18"/>
        </w:rPr>
      </w:pPr>
      <w:r w:rsidRPr="00C01518">
        <w:rPr>
          <w:rFonts w:ascii="Arial" w:hAnsi="Arial" w:cs="Arial"/>
          <w:b/>
          <w:bCs/>
          <w:sz w:val="18"/>
          <w:szCs w:val="18"/>
        </w:rPr>
        <w:t>DIRETOR ADMINISTRATIVO</w:t>
      </w:r>
    </w:p>
    <w:p w14:paraId="3705A406" w14:textId="77777777" w:rsidR="007C0A68" w:rsidRPr="00C01518" w:rsidRDefault="007C0A68" w:rsidP="007C0A68">
      <w:pPr>
        <w:pStyle w:val="NormalWeb"/>
        <w:spacing w:before="0" w:beforeAutospacing="0" w:after="0" w:afterAutospacing="0"/>
        <w:jc w:val="center"/>
        <w:rPr>
          <w:rFonts w:ascii="Arial" w:hAnsi="Arial" w:cs="Arial"/>
          <w:b/>
          <w:bCs/>
          <w:sz w:val="18"/>
          <w:szCs w:val="18"/>
        </w:rPr>
      </w:pPr>
    </w:p>
    <w:p w14:paraId="3D45DB63" w14:textId="77777777" w:rsidR="00C01518" w:rsidRDefault="00C01518" w:rsidP="007C0A68">
      <w:pPr>
        <w:pStyle w:val="NormalWeb"/>
        <w:spacing w:before="0" w:beforeAutospacing="0" w:after="0" w:afterAutospacing="0"/>
        <w:jc w:val="center"/>
        <w:rPr>
          <w:rFonts w:ascii="Arial" w:hAnsi="Arial" w:cs="Arial"/>
          <w:b/>
          <w:bCs/>
          <w:sz w:val="18"/>
          <w:szCs w:val="18"/>
        </w:rPr>
      </w:pPr>
    </w:p>
    <w:p w14:paraId="6E725D02" w14:textId="750AE025" w:rsidR="007C0A68" w:rsidRPr="00C01518" w:rsidRDefault="007C0A68" w:rsidP="007C0A68">
      <w:pPr>
        <w:pStyle w:val="NormalWeb"/>
        <w:spacing w:before="0" w:beforeAutospacing="0" w:after="0" w:afterAutospacing="0"/>
        <w:jc w:val="center"/>
        <w:rPr>
          <w:rFonts w:ascii="Arial" w:hAnsi="Arial" w:cs="Arial"/>
          <w:b/>
          <w:bCs/>
          <w:sz w:val="18"/>
          <w:szCs w:val="18"/>
        </w:rPr>
      </w:pPr>
      <w:r w:rsidRPr="00C01518">
        <w:rPr>
          <w:rFonts w:ascii="Arial" w:hAnsi="Arial" w:cs="Arial"/>
          <w:b/>
          <w:bCs/>
          <w:sz w:val="18"/>
          <w:szCs w:val="18"/>
        </w:rPr>
        <w:t>JOÃO JOSÉ DA SILVA</w:t>
      </w:r>
    </w:p>
    <w:p w14:paraId="346705F8" w14:textId="77777777" w:rsidR="007C0A68" w:rsidRPr="00C01518" w:rsidRDefault="007C0A68" w:rsidP="007C0A68">
      <w:pPr>
        <w:pStyle w:val="NormalWeb"/>
        <w:spacing w:before="0" w:beforeAutospacing="0" w:after="0" w:afterAutospacing="0"/>
        <w:jc w:val="center"/>
        <w:rPr>
          <w:rFonts w:ascii="Arial" w:hAnsi="Arial" w:cs="Arial"/>
          <w:b/>
          <w:bCs/>
          <w:sz w:val="18"/>
          <w:szCs w:val="18"/>
        </w:rPr>
      </w:pPr>
      <w:r w:rsidRPr="00C01518">
        <w:rPr>
          <w:rFonts w:ascii="Arial" w:hAnsi="Arial" w:cs="Arial"/>
          <w:b/>
          <w:bCs/>
          <w:sz w:val="18"/>
          <w:szCs w:val="18"/>
        </w:rPr>
        <w:t>DIRETOR DE GESTÃO DE RISCOS</w:t>
      </w:r>
    </w:p>
    <w:p w14:paraId="3E4B97C9" w14:textId="77777777" w:rsidR="00C01518" w:rsidRDefault="00000000" w:rsidP="007C0A68">
      <w:pPr>
        <w:pStyle w:val="NormalWeb"/>
        <w:spacing w:before="0" w:beforeAutospacing="0" w:after="0" w:afterAutospacing="0"/>
        <w:jc w:val="center"/>
        <w:rPr>
          <w:rFonts w:ascii="Arial" w:hAnsi="Arial" w:cs="Arial"/>
          <w:b/>
          <w:bCs/>
          <w:sz w:val="18"/>
          <w:szCs w:val="18"/>
        </w:rPr>
      </w:pPr>
      <w:r w:rsidRPr="00C01518">
        <w:rPr>
          <w:rFonts w:ascii="Arial" w:hAnsi="Arial" w:cs="Arial"/>
          <w:b/>
          <w:bCs/>
          <w:sz w:val="18"/>
          <w:szCs w:val="18"/>
        </w:rPr>
        <w:br/>
      </w:r>
    </w:p>
    <w:p w14:paraId="6DB854FA" w14:textId="4C71A173" w:rsidR="00BA3275" w:rsidRPr="00C01518" w:rsidRDefault="00000000" w:rsidP="007C0A68">
      <w:pPr>
        <w:pStyle w:val="NormalWeb"/>
        <w:spacing w:before="0" w:beforeAutospacing="0" w:after="0" w:afterAutospacing="0"/>
        <w:jc w:val="center"/>
        <w:rPr>
          <w:rFonts w:ascii="Arial" w:hAnsi="Arial" w:cs="Arial"/>
          <w:b/>
          <w:bCs/>
          <w:sz w:val="18"/>
          <w:szCs w:val="18"/>
        </w:rPr>
      </w:pPr>
      <w:r w:rsidRPr="00C01518">
        <w:rPr>
          <w:rFonts w:ascii="Arial" w:hAnsi="Arial" w:cs="Arial"/>
          <w:b/>
          <w:bCs/>
          <w:sz w:val="18"/>
          <w:szCs w:val="18"/>
        </w:rPr>
        <w:t>WILLIANE FERNANDA BARROSO</w:t>
      </w:r>
      <w:r w:rsidRPr="00C01518">
        <w:rPr>
          <w:rFonts w:ascii="Arial" w:hAnsi="Arial" w:cs="Arial"/>
          <w:b/>
          <w:bCs/>
          <w:sz w:val="18"/>
          <w:szCs w:val="18"/>
        </w:rPr>
        <w:br/>
        <w:t>CONTADOR</w:t>
      </w:r>
      <w:r w:rsidR="007C0A68" w:rsidRPr="00C01518">
        <w:rPr>
          <w:rFonts w:ascii="Arial" w:hAnsi="Arial" w:cs="Arial"/>
          <w:b/>
          <w:bCs/>
          <w:sz w:val="18"/>
          <w:szCs w:val="18"/>
        </w:rPr>
        <w:t>A</w:t>
      </w:r>
      <w:r w:rsidRPr="00C01518">
        <w:rPr>
          <w:rFonts w:ascii="Arial" w:hAnsi="Arial" w:cs="Arial"/>
          <w:b/>
          <w:bCs/>
          <w:sz w:val="18"/>
          <w:szCs w:val="18"/>
        </w:rPr>
        <w:t xml:space="preserve"> -</w:t>
      </w:r>
      <w:r w:rsidR="007C0A68" w:rsidRPr="00C01518">
        <w:rPr>
          <w:rFonts w:ascii="Arial" w:hAnsi="Arial" w:cs="Arial"/>
          <w:b/>
          <w:bCs/>
          <w:sz w:val="18"/>
          <w:szCs w:val="18"/>
        </w:rPr>
        <w:t xml:space="preserve"> CRC/</w:t>
      </w:r>
      <w:r w:rsidRPr="00C01518">
        <w:rPr>
          <w:rFonts w:ascii="Arial" w:hAnsi="Arial" w:cs="Arial"/>
          <w:b/>
          <w:bCs/>
          <w:sz w:val="18"/>
          <w:szCs w:val="18"/>
        </w:rPr>
        <w:t>MG-092.906</w:t>
      </w:r>
      <w:r w:rsidR="007C0A68" w:rsidRPr="00C01518">
        <w:rPr>
          <w:rFonts w:ascii="Arial" w:hAnsi="Arial" w:cs="Arial"/>
          <w:b/>
          <w:bCs/>
          <w:sz w:val="18"/>
          <w:szCs w:val="18"/>
        </w:rPr>
        <w:t>-O</w:t>
      </w:r>
      <w:r w:rsidRPr="00C01518">
        <w:rPr>
          <w:rFonts w:ascii="Arial" w:hAnsi="Arial" w:cs="Arial"/>
          <w:b/>
          <w:bCs/>
          <w:sz w:val="18"/>
          <w:szCs w:val="18"/>
        </w:rPr>
        <w:t xml:space="preserve"> </w:t>
      </w:r>
    </w:p>
    <w:p w14:paraId="53A0DD20" w14:textId="4167E421" w:rsidR="00BA3275" w:rsidRDefault="00BA3275">
      <w:pPr>
        <w:pStyle w:val="Cabealho"/>
        <w:divId w:val="476343814"/>
      </w:pPr>
    </w:p>
    <w:p w14:paraId="5D4FFA73" w14:textId="77777777" w:rsidR="00BA3275" w:rsidRDefault="00000000">
      <w:pPr>
        <w:divId w:val="847716822"/>
        <w:rPr>
          <w:rFonts w:eastAsia="Times New Roman"/>
        </w:rPr>
      </w:pPr>
      <w:r>
        <w:rPr>
          <w:rFonts w:eastAsia="Times New Roman"/>
          <w:noProof/>
        </w:rPr>
        <mc:AlternateContent>
          <mc:Choice Requires="wps">
            <w:drawing>
              <wp:anchor distT="0" distB="0" distL="114300" distR="114300" simplePos="0" relativeHeight="251660288" behindDoc="0" locked="0" layoutInCell="1" allowOverlap="1" wp14:anchorId="22BFA2BD" wp14:editId="2CD2FFD5">
                <wp:simplePos x="0" y="0"/>
                <wp:positionH relativeFrom="column">
                  <wp:posOffset>0</wp:posOffset>
                </wp:positionH>
                <wp:positionV relativeFrom="paragraph">
                  <wp:posOffset>0</wp:posOffset>
                </wp:positionV>
                <wp:extent cx="635000" cy="635000"/>
                <wp:effectExtent l="0" t="0" r="3175" b="3175"/>
                <wp:wrapNone/>
                <wp:docPr id="223493916" name="AutoShape 102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F7592" id="AutoShape 1027"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mc:Fallback>
        </mc:AlternateContent>
      </w:r>
      <w:r>
        <w:rPr>
          <w:rFonts w:eastAsia="Times New Roman"/>
          <w:noProof/>
        </w:rPr>
        <mc:AlternateContent>
          <mc:Choice Requires="wps">
            <w:drawing>
              <wp:anchor distT="0" distB="0" distL="114300" distR="114300" simplePos="0" relativeHeight="251662336" behindDoc="1" locked="0" layoutInCell="1" allowOverlap="1" wp14:anchorId="35AD59AF" wp14:editId="5656571B">
                <wp:simplePos x="0" y="0"/>
                <wp:positionH relativeFrom="column">
                  <wp:posOffset>0</wp:posOffset>
                </wp:positionH>
                <wp:positionV relativeFrom="paragraph">
                  <wp:posOffset>-5080000</wp:posOffset>
                </wp:positionV>
                <wp:extent cx="635000" cy="635000"/>
                <wp:effectExtent l="0" t="0" r="3175" b="0"/>
                <wp:wrapNone/>
                <wp:docPr id="1018274470"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8365E" id="Picture 1" o:spid="_x0000_s1026" alt="VHB" style="position:absolute;margin-left:0;margin-top:-400pt;width:50pt;height:5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filled="f" stroked="f">
                <o:lock v:ext="edit" aspectratio="t"/>
              </v:rect>
            </w:pict>
          </mc:Fallback>
        </mc:AlternateContent>
      </w:r>
    </w:p>
    <w:p w14:paraId="60480835" w14:textId="77777777" w:rsidR="00BA3275" w:rsidRDefault="00000000">
      <w:pPr>
        <w:pStyle w:val="Rodap"/>
        <w:divId w:val="847716822"/>
      </w:pPr>
      <w:r>
        <w:tab/>
      </w:r>
      <w:r>
        <w:tab/>
        <w:t xml:space="preserve"> </w:t>
      </w:r>
      <w:r>
        <w:fldChar w:fldCharType="begin"/>
      </w:r>
      <w:r>
        <w:instrText>PAGE</w:instrText>
      </w:r>
      <w:r>
        <w:fldChar w:fldCharType="separate"/>
      </w:r>
      <w:r>
        <w:t xml:space="preserve"> </w:t>
      </w:r>
      <w:r>
        <w:fldChar w:fldCharType="end"/>
      </w:r>
    </w:p>
    <w:p w14:paraId="466FD1D0" w14:textId="77777777" w:rsidR="00CB3271" w:rsidRDefault="00CB3271"/>
    <w:sectPr w:rsidR="00CB3271" w:rsidSect="002D60D3">
      <w:footerReference w:type="default" r:id="rId1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56FD6" w14:textId="77777777" w:rsidR="00B94DC7" w:rsidRDefault="00B94DC7"/>
  </w:endnote>
  <w:endnote w:type="continuationSeparator" w:id="0">
    <w:p w14:paraId="55A2623B" w14:textId="77777777" w:rsidR="00B94DC7" w:rsidRDefault="00B94D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FDD00" w14:textId="77777777" w:rsidR="00BA3275" w:rsidRDefault="00000000">
    <w:pPr>
      <w:rPr>
        <w:rFonts w:eastAsia="Times New Roman"/>
      </w:rPr>
    </w:pPr>
    <w:r>
      <w:rPr>
        <w:rFonts w:eastAsia="Times New Roman"/>
        <w:noProof/>
      </w:rPr>
      <mc:AlternateContent>
        <mc:Choice Requires="wps">
          <w:drawing>
            <wp:anchor distT="0" distB="0" distL="114300" distR="114300" simplePos="0" relativeHeight="251659264" behindDoc="0" locked="0" layoutInCell="1" allowOverlap="1" wp14:anchorId="1F11D5CA" wp14:editId="0A435897">
              <wp:simplePos x="0" y="0"/>
              <wp:positionH relativeFrom="column">
                <wp:posOffset>0</wp:posOffset>
              </wp:positionH>
              <wp:positionV relativeFrom="paragraph">
                <wp:posOffset>0</wp:posOffset>
              </wp:positionV>
              <wp:extent cx="635000" cy="635000"/>
              <wp:effectExtent l="0" t="0" r="3175" b="3175"/>
              <wp:wrapNone/>
              <wp:docPr id="1927519610" name="AutoShape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C9A0D" id="AutoShape 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mc:Fallback>
      </mc:AlternateContent>
    </w:r>
    <w:r>
      <w:rPr>
        <w:rFonts w:eastAsia="Times New Roman"/>
        <w:noProof/>
      </w:rPr>
      <mc:AlternateContent>
        <mc:Choice Requires="wps">
          <w:drawing>
            <wp:anchor distT="0" distB="0" distL="114300" distR="114300" simplePos="0" relativeHeight="251660288" behindDoc="1" locked="0" layoutInCell="1" allowOverlap="1" wp14:anchorId="54AA40CB" wp14:editId="22847E78">
              <wp:simplePos x="0" y="0"/>
              <wp:positionH relativeFrom="column">
                <wp:posOffset>0</wp:posOffset>
              </wp:positionH>
              <wp:positionV relativeFrom="paragraph">
                <wp:posOffset>-5080000</wp:posOffset>
              </wp:positionV>
              <wp:extent cx="635000" cy="635000"/>
              <wp:effectExtent l="0" t="0" r="3175" b="0"/>
              <wp:wrapNone/>
              <wp:docPr id="748693328"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24BDF" id="Picture 1" o:spid="_x0000_s1026" alt="VHB" style="position:absolute;margin-left:0;margin-top:-400pt;width:50pt;height:5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" filled="f" stroked="f">
              <v:stroke joinstyle="round"/>
              <o:lock v:ext="edit" aspectratio="t"/>
            </v:rect>
          </w:pict>
        </mc:Fallback>
      </mc:AlternateContent>
    </w:r>
  </w:p>
  <w:p w14:paraId="4DCE17C0" w14:textId="226AF151" w:rsidR="00BA3275" w:rsidRDefault="00000000">
    <w:pPr>
      <w:pStyle w:val="Rodap"/>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F9846" w14:textId="77777777" w:rsidR="00B94DC7" w:rsidRDefault="00B94DC7"/>
  </w:footnote>
  <w:footnote w:type="continuationSeparator" w:id="0">
    <w:p w14:paraId="0D9F990B" w14:textId="77777777" w:rsidR="00B94DC7" w:rsidRDefault="00B94D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D9466E"/>
    <w:multiLevelType w:val="hybridMultilevel"/>
    <w:tmpl w:val="5CDA75A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25698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271"/>
    <w:rsid w:val="000456E3"/>
    <w:rsid w:val="001204E4"/>
    <w:rsid w:val="001235D8"/>
    <w:rsid w:val="00153C49"/>
    <w:rsid w:val="002D2F67"/>
    <w:rsid w:val="002D60D3"/>
    <w:rsid w:val="002E5A5B"/>
    <w:rsid w:val="002F11A6"/>
    <w:rsid w:val="00303CC6"/>
    <w:rsid w:val="00370A97"/>
    <w:rsid w:val="003D7876"/>
    <w:rsid w:val="004928D8"/>
    <w:rsid w:val="00557E7F"/>
    <w:rsid w:val="00582B9A"/>
    <w:rsid w:val="00611020"/>
    <w:rsid w:val="006221D0"/>
    <w:rsid w:val="00787183"/>
    <w:rsid w:val="007C0A68"/>
    <w:rsid w:val="008B12B1"/>
    <w:rsid w:val="00941D2E"/>
    <w:rsid w:val="00991889"/>
    <w:rsid w:val="009F4CE0"/>
    <w:rsid w:val="00AA42FA"/>
    <w:rsid w:val="00B94DC7"/>
    <w:rsid w:val="00BA3275"/>
    <w:rsid w:val="00C01518"/>
    <w:rsid w:val="00CB3271"/>
    <w:rsid w:val="00CF2DD0"/>
    <w:rsid w:val="00D066BD"/>
    <w:rsid w:val="00D85EE5"/>
    <w:rsid w:val="00E7341D"/>
    <w:rsid w:val="00E930EC"/>
    <w:rsid w:val="00EB1804"/>
    <w:rsid w:val="00EF3B69"/>
    <w:rsid w:val="00F151B1"/>
    <w:rsid w:val="00F20A16"/>
    <w:rsid w:val="00F43F7E"/>
    <w:rsid w:val="00F90EE6"/>
    <w:rsid w:val="00FC586F"/>
    <w:rsid w:val="00FD36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9E208"/>
  <w15:docId w15:val="{15AC53CB-B70F-4391-8996-7C3B34147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uiPriority w:val="99"/>
    <w:semiHidden/>
    <w:pPr>
      <w:spacing w:before="100" w:beforeAutospacing="1" w:after="100" w:afterAutospacing="1"/>
    </w:pPr>
    <w:rPr>
      <w:rFonts w:ascii="Times New Roman" w:hAnsi="Times New Roman" w:cs="Times New Roman"/>
      <w:kern w:val="0"/>
    </w:rPr>
  </w:style>
  <w:style w:type="paragraph" w:styleId="NormalWeb">
    <w:name w:val="Normal (Web)"/>
    <w:basedOn w:val="Normal"/>
    <w:uiPriority w:val="99"/>
    <w:unhideWhenUsed/>
    <w:pPr>
      <w:spacing w:before="100" w:beforeAutospacing="1" w:after="100" w:afterAutospacing="1"/>
    </w:pPr>
    <w:rPr>
      <w:rFonts w:ascii="Times New Roman" w:hAnsi="Times New Roman" w:cs="Times New Roman"/>
      <w:kern w:val="0"/>
    </w:rPr>
  </w:style>
  <w:style w:type="paragraph" w:styleId="Rodap">
    <w:name w:val="footer"/>
    <w:basedOn w:val="Normal"/>
    <w:link w:val="RodapChar"/>
    <w:uiPriority w:val="99"/>
    <w:unhideWhenUsed/>
    <w:pPr>
      <w:tabs>
        <w:tab w:val="center" w:pos="4320"/>
        <w:tab w:val="right" w:pos="8640"/>
      </w:tabs>
    </w:pPr>
    <w:rPr>
      <w:rFonts w:ascii="Times New Roman" w:hAnsi="Times New Roman" w:cs="Times New Roman"/>
      <w:kern w:val="0"/>
      <w:sz w:val="20"/>
      <w:szCs w:val="20"/>
    </w:rPr>
  </w:style>
  <w:style w:type="character" w:customStyle="1" w:styleId="RodapChar">
    <w:name w:val="Rodapé Char"/>
    <w:basedOn w:val="Fontepargpadro"/>
    <w:link w:val="Rodap"/>
    <w:uiPriority w:val="99"/>
    <w:rPr>
      <w:rFonts w:ascii="Times New Roman" w:hAnsi="Times New Roman" w:cs="Times New Roman"/>
      <w:kern w:val="0"/>
      <w:sz w:val="20"/>
      <w:szCs w:val="20"/>
    </w:rPr>
  </w:style>
  <w:style w:type="paragraph" w:styleId="Cabealho">
    <w:name w:val="header"/>
    <w:basedOn w:val="Normal"/>
    <w:link w:val="CabealhoChar"/>
    <w:uiPriority w:val="99"/>
    <w:unhideWhenUsed/>
    <w:pPr>
      <w:spacing w:before="100" w:beforeAutospacing="1" w:after="100" w:afterAutospacing="1"/>
    </w:pPr>
    <w:rPr>
      <w:rFonts w:ascii="Times New Roman" w:hAnsi="Times New Roman" w:cs="Times New Roman"/>
      <w:kern w:val="0"/>
    </w:rPr>
  </w:style>
  <w:style w:type="character" w:customStyle="1" w:styleId="CabealhoChar">
    <w:name w:val="Cabeçalho Char"/>
    <w:basedOn w:val="Fontepargpadro"/>
    <w:link w:val="Cabealho"/>
    <w:uiPriority w:val="99"/>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343814">
      <w:marLeft w:val="0"/>
      <w:marRight w:val="0"/>
      <w:marTop w:val="0"/>
      <w:marBottom w:val="0"/>
      <w:divBdr>
        <w:top w:val="none" w:sz="0" w:space="0" w:color="auto"/>
        <w:left w:val="none" w:sz="0" w:space="0" w:color="auto"/>
        <w:bottom w:val="none" w:sz="0" w:space="0" w:color="auto"/>
        <w:right w:val="none" w:sz="0" w:space="0" w:color="auto"/>
      </w:divBdr>
    </w:div>
    <w:div w:id="847716822">
      <w:marLeft w:val="0"/>
      <w:marRight w:val="0"/>
      <w:marTop w:val="0"/>
      <w:marBottom w:val="0"/>
      <w:divBdr>
        <w:top w:val="none" w:sz="0" w:space="0" w:color="auto"/>
        <w:left w:val="none" w:sz="0" w:space="0" w:color="auto"/>
        <w:bottom w:val="none" w:sz="0" w:space="0" w:color="auto"/>
        <w:right w:val="none" w:sz="0" w:space="0" w:color="auto"/>
      </w:divBdr>
    </w:div>
    <w:div w:id="1003363023">
      <w:marLeft w:val="0"/>
      <w:marRight w:val="0"/>
      <w:marTop w:val="0"/>
      <w:marBottom w:val="0"/>
      <w:divBdr>
        <w:top w:val="none" w:sz="0" w:space="0" w:color="auto"/>
        <w:left w:val="none" w:sz="0" w:space="0" w:color="auto"/>
        <w:bottom w:val="none" w:sz="0" w:space="0" w:color="auto"/>
        <w:right w:val="none" w:sz="0" w:space="0" w:color="auto"/>
      </w:divBdr>
    </w:div>
    <w:div w:id="1326594528">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1AF01D5B7A51C47BD387DFE884972FB" ma:contentTypeVersion="22" ma:contentTypeDescription="Crie um novo documento." ma:contentTypeScope="" ma:versionID="7e1fe077e33f51e5555b61a525831a2a">
  <xsd:schema xmlns:xsd="http://www.w3.org/2001/XMLSchema" xmlns:xs="http://www.w3.org/2001/XMLSchema" xmlns:p="http://schemas.microsoft.com/office/2006/metadata/properties" xmlns:ns1="http://schemas.microsoft.com/sharepoint/v3" xmlns:ns2="befdb7d1-170a-4b5e-ae52-1b23b97218a6" xmlns:ns3="7047844b-91cd-46c7-a54d-f5e048b0b675" targetNamespace="http://schemas.microsoft.com/office/2006/metadata/properties" ma:root="true" ma:fieldsID="214b52dea63b63c50cb51b86730f0fc3" ns1:_="" ns2:_="" ns3:_="">
    <xsd:import namespace="http://schemas.microsoft.com/sharepoint/v3"/>
    <xsd:import namespace="befdb7d1-170a-4b5e-ae52-1b23b97218a6"/>
    <xsd:import namespace="7047844b-91cd-46c7-a54d-f5e048b0b6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MediaServiceLocation"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Propriedades da Política de Conformidade Unificada" ma:hidden="true" ma:internalName="_ip_UnifiedCompliancePolicyProperties">
      <xsd:simpleType>
        <xsd:restriction base="dms:Note"/>
      </xsd:simpleType>
    </xsd:element>
    <xsd:element name="_ip_UnifiedCompliancePolicyUIAction" ma:index="20"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fdb7d1-170a-4b5e-ae52-1b23b97218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Marcações de imagem" ma:readOnly="false" ma:fieldId="{5cf76f15-5ced-4ddc-b409-7134ff3c332f}" ma:taxonomyMulti="true" ma:sspId="15b74486-4571-4958-a072-e02accf3829a"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Estado da aprovação" ma:internalName="Estado_x0020_da_x0020_aprova_x00e7__x00e3_o">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47844b-91cd-46c7-a54d-f5e048b0b675"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TaxCatchAll" ma:index="25" nillable="true" ma:displayName="Taxonomy Catch All Column" ma:hidden="true" ma:list="{52d51ddf-0616-4627-9610-a04e9f7f6e1c}" ma:internalName="TaxCatchAll" ma:showField="CatchAllData" ma:web="7047844b-91cd-46c7-a54d-f5e048b0b6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efdb7d1-170a-4b5e-ae52-1b23b97218a6">
      <Terms xmlns="http://schemas.microsoft.com/office/infopath/2007/PartnerControls"/>
    </lcf76f155ced4ddcb4097134ff3c332f>
    <_ip_UnifiedCompliancePolicyProperties xmlns="http://schemas.microsoft.com/sharepoint/v3" xsi:nil="true"/>
    <_Flow_SignoffStatus xmlns="befdb7d1-170a-4b5e-ae52-1b23b97218a6" xsi:nil="true"/>
    <TaxCatchAll xmlns="7047844b-91cd-46c7-a54d-f5e048b0b675" xsi:nil="true"/>
  </documentManagement>
</p:properties>
</file>

<file path=customXml/itemProps1.xml><?xml version="1.0" encoding="utf-8"?>
<ds:datastoreItem xmlns:ds="http://schemas.openxmlformats.org/officeDocument/2006/customXml" ds:itemID="{CF0A1F84-3225-4E15-998C-12CBFADB2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fdb7d1-170a-4b5e-ae52-1b23b97218a6"/>
    <ds:schemaRef ds:uri="7047844b-91cd-46c7-a54d-f5e048b0b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C2BA15-F1FF-498F-86B0-1EF6076BB635}">
  <ds:schemaRefs>
    <ds:schemaRef ds:uri="http://schemas.microsoft.com/sharepoint/v3/contenttype/forms"/>
  </ds:schemaRefs>
</ds:datastoreItem>
</file>

<file path=customXml/itemProps3.xml><?xml version="1.0" encoding="utf-8"?>
<ds:datastoreItem xmlns:ds="http://schemas.openxmlformats.org/officeDocument/2006/customXml" ds:itemID="{0E16EC30-A3F7-4213-924E-57159A45EF8B}">
  <ds:schemaRefs>
    <ds:schemaRef ds:uri="http://schemas.microsoft.com/office/2006/metadata/properties"/>
    <ds:schemaRef ds:uri="http://schemas.microsoft.com/office/infopath/2007/PartnerControls"/>
    <ds:schemaRef ds:uri="http://schemas.microsoft.com/sharepoint/v3"/>
    <ds:schemaRef ds:uri="befdb7d1-170a-4b5e-ae52-1b23b97218a6"/>
    <ds:schemaRef ds:uri="7047844b-91cd-46c7-a54d-f5e048b0b675"/>
  </ds:schemaRefs>
</ds:datastoreItem>
</file>

<file path=docMetadata/LabelInfo.xml><?xml version="1.0" encoding="utf-8"?>
<clbl:labelList xmlns:clbl="http://schemas.microsoft.com/office/2020/mipLabelMetadata">
  <clbl:label id="{6459b2e0-2ec4-47e6-afc1-6e3f8b684f6a}" enabled="1" method="Privileged" siteId="{b417b620-2ae9-4a83-ab6c-7fbd828bda1d}" contentBits="3" removed="0"/>
</clbl:labelList>
</file>

<file path=docProps/app.xml><?xml version="1.0" encoding="utf-8"?>
<Properties xmlns="http://schemas.openxmlformats.org/officeDocument/2006/extended-properties" xmlns:vt="http://schemas.openxmlformats.org/officeDocument/2006/docPropsVTypes">
  <Template>Normal.dotm</Template>
  <TotalTime>127</TotalTime>
  <Pages>34</Pages>
  <Words>16101</Words>
  <Characters>86951</Characters>
  <Application>Microsoft Office Word</Application>
  <DocSecurity>0</DocSecurity>
  <Lines>724</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Daniela Marta Forester Guthia</cp:lastModifiedBy>
  <cp:revision>30</cp:revision>
  <dcterms:created xsi:type="dcterms:W3CDTF">2025-09-10T15:01:00Z</dcterms:created>
  <dcterms:modified xsi:type="dcterms:W3CDTF">2025-09-17T18:17:00Z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59b2e0-2ec4-47e6-afc1-6e3f8b684f6a_Enabled">
    <vt:lpwstr>true</vt:lpwstr>
  </property>
  <property fmtid="{D5CDD505-2E9C-101B-9397-08002B2CF9AE}" pid="3" name="MSIP_Label_6459b2e0-2ec4-47e6-afc1-6e3f8b684f6a_SetDate">
    <vt:lpwstr>2025-09-10T15:01:06Z</vt:lpwstr>
  </property>
  <property fmtid="{D5CDD505-2E9C-101B-9397-08002B2CF9AE}" pid="4" name="MSIP_Label_6459b2e0-2ec4-47e6-afc1-6e3f8b684f6a_Method">
    <vt:lpwstr>Standard</vt:lpwstr>
  </property>
  <property fmtid="{D5CDD505-2E9C-101B-9397-08002B2CF9AE}" pid="5" name="MSIP_Label_6459b2e0-2ec4-47e6-afc1-6e3f8b684f6a_Name">
    <vt:lpwstr>6459b2e0-2ec4-47e6-afc1-6e3f8b684f6a</vt:lpwstr>
  </property>
  <property fmtid="{D5CDD505-2E9C-101B-9397-08002B2CF9AE}" pid="6" name="MSIP_Label_6459b2e0-2ec4-47e6-afc1-6e3f8b684f6a_SiteId">
    <vt:lpwstr>b417b620-2ae9-4a83-ab6c-7fbd828bda1d</vt:lpwstr>
  </property>
  <property fmtid="{D5CDD505-2E9C-101B-9397-08002B2CF9AE}" pid="7" name="MSIP_Label_6459b2e0-2ec4-47e6-afc1-6e3f8b684f6a_ActionId">
    <vt:lpwstr>547f85e0-4e9e-4a30-bd55-192064d5e458</vt:lpwstr>
  </property>
  <property fmtid="{D5CDD505-2E9C-101B-9397-08002B2CF9AE}" pid="8" name="MSIP_Label_6459b2e0-2ec4-47e6-afc1-6e3f8b684f6a_ContentBits">
    <vt:lpwstr>0</vt:lpwstr>
  </property>
  <property fmtid="{D5CDD505-2E9C-101B-9397-08002B2CF9AE}" pid="9" name="ContentTypeId">
    <vt:lpwstr>0x010100C1AF01D5B7A51C47BD387DFE884972FB</vt:lpwstr>
  </property>
</Properties>
</file>